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05" w:leftChars="50"/>
        <w:jc w:val="left"/>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rFonts w:ascii="黑体" w:hAnsi="宋体" w:eastAsia="黑体"/>
          <w:szCs w:val="21"/>
        </w:rPr>
      </w:pPr>
      <w:r>
        <w:rPr>
          <w:rFonts w:ascii="黑体" w:hAnsi="宋体" w:eastAsia="黑体"/>
          <w:szCs w:val="21"/>
        </w:rPr>
        <w:pict>
          <v:shape id="Text Box 28" o:spid="_x0000_s1026" o:spt="202" type="#_x0000_t202" style="position:absolute;left:0pt;margin-left:5.6pt;margin-top:12pt;height:66.05pt;width:416.8pt;z-index:251673600;mso-width-relative:page;mso-height-relative:page;" fillcolor="#C0C0C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">
            <v:path/>
            <v:fill on="t" opacity="26214f" focussize="0,0"/>
            <v:stroke on="f" color="#C0C0C0" joinstyle="miter"/>
            <v:imagedata o:title=""/>
            <o:lock v:ext="edit"/>
            <v:textbox inset="0mm,4mm,0mm,2.3mm">
              <w:txbxContent>
                <w:p>
                  <w:pPr>
                    <w:jc w:val="center"/>
                    <w:rPr>
                      <w:rFonts w:hint="eastAsia" w:eastAsia="黑体"/>
                      <w:szCs w:val="52"/>
                      <w:lang w:eastAsia="zh-CN"/>
                    </w:rPr>
                  </w:pPr>
                  <w:r>
                    <w:rPr>
                      <w:rFonts w:hint="eastAsia" w:ascii="黑体" w:hAnsi="黑体" w:eastAsia="黑体"/>
                      <w:bCs/>
                      <w:sz w:val="52"/>
                      <w:szCs w:val="52"/>
                    </w:rPr>
                    <w:t>HSE管理体系认证</w:t>
                  </w:r>
                  <w:r>
                    <w:rPr>
                      <w:rFonts w:hint="eastAsia" w:ascii="黑体" w:hAnsi="黑体" w:eastAsia="黑体"/>
                      <w:bCs/>
                      <w:sz w:val="52"/>
                      <w:szCs w:val="52"/>
                      <w:lang w:eastAsia="zh-CN"/>
                    </w:rPr>
                    <w:t>规则</w:t>
                  </w:r>
                </w:p>
              </w:txbxContent>
            </v:textbox>
          </v:shape>
        </w:pict>
      </w:r>
    </w:p>
    <w:p>
      <w:pPr>
        <w:spacing w:line="360" w:lineRule="auto"/>
        <w:rPr>
          <w:rFonts w:ascii="黑体" w:hAnsi="宋体" w:eastAsia="黑体"/>
          <w:szCs w:val="21"/>
        </w:rPr>
      </w:pPr>
    </w:p>
    <w:p>
      <w:pPr>
        <w:spacing w:line="360" w:lineRule="auto"/>
        <w:rPr>
          <w:rFonts w:ascii="黑体" w:hAnsi="宋体" w:eastAsia="黑体"/>
          <w:sz w:val="44"/>
          <w:szCs w:val="44"/>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pStyle w:val="27"/>
        <w:spacing w:line="360" w:lineRule="auto"/>
        <w:ind w:left="840" w:hanging="420"/>
        <w:rPr>
          <w:rFonts w:ascii="黑体" w:hAnsi="宋体" w:eastAsia="黑体"/>
          <w:szCs w:val="21"/>
        </w:rPr>
      </w:pPr>
    </w:p>
    <w:tbl>
      <w:tblPr>
        <w:tblStyle w:val="30"/>
        <w:tblpPr w:leftFromText="180" w:rightFromText="180" w:vertAnchor="page" w:horzAnchor="margin" w:tblpXSpec="center" w:tblpY="10306"/>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Arial" w:eastAsia="隶书" w:cs="Arial"/>
                <w:sz w:val="30"/>
              </w:rPr>
            </w:pPr>
            <w:r>
              <w:rPr>
                <w:rFonts w:hint="eastAsia" w:ascii="隶书" w:hAnsi="Arial" w:eastAsia="隶书" w:cs="Arial"/>
                <w:sz w:val="30"/>
              </w:rPr>
              <w:t>版本：</w:t>
            </w:r>
          </w:p>
        </w:tc>
        <w:tc>
          <w:tcPr>
            <w:tcW w:w="4249" w:type="dxa"/>
            <w:vAlign w:val="center"/>
          </w:tcPr>
          <w:p>
            <w:pPr>
              <w:pStyle w:val="21"/>
              <w:rPr>
                <w:rFonts w:hint="eastAsia"/>
                <w:sz w:val="24"/>
              </w:rPr>
            </w:pPr>
            <w:r>
              <w:rPr>
                <w:rFonts w:hint="eastAsia"/>
                <w:sz w:val="24"/>
              </w:rPr>
              <w:t>01/01</w:t>
            </w:r>
          </w:p>
        </w:tc>
      </w:tr>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Arial" w:eastAsia="隶书" w:cs="Arial"/>
                <w:sz w:val="30"/>
              </w:rPr>
            </w:pPr>
            <w:r>
              <w:rPr>
                <w:rFonts w:ascii="隶书" w:hAnsi="Arial" w:eastAsia="隶书" w:cs="Arial"/>
                <w:sz w:val="30"/>
              </w:rPr>
              <w:t>文件编号：</w:t>
            </w:r>
          </w:p>
        </w:tc>
        <w:tc>
          <w:tcPr>
            <w:tcW w:w="4249" w:type="dxa"/>
            <w:vAlign w:val="center"/>
          </w:tcPr>
          <w:p>
            <w:pPr>
              <w:pStyle w:val="21"/>
              <w:rPr>
                <w:sz w:val="24"/>
              </w:rPr>
            </w:pPr>
            <w:r>
              <w:rPr>
                <w:rFonts w:hint="eastAsia"/>
                <w:sz w:val="24"/>
              </w:rPr>
              <w:t>WLGJ-RZ-ZY-01-004</w:t>
            </w:r>
          </w:p>
        </w:tc>
      </w:tr>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Arial" w:eastAsia="隶书" w:cs="Arial"/>
                <w:sz w:val="30"/>
              </w:rPr>
            </w:pPr>
            <w:r>
              <w:rPr>
                <w:rFonts w:hint="eastAsia" w:ascii="隶书" w:hAnsi="Arial" w:eastAsia="隶书" w:cs="Arial"/>
                <w:sz w:val="30"/>
              </w:rPr>
              <w:t>发布</w:t>
            </w:r>
            <w:r>
              <w:rPr>
                <w:rFonts w:ascii="隶书" w:hAnsi="Arial" w:eastAsia="隶书" w:cs="Arial"/>
                <w:sz w:val="30"/>
              </w:rPr>
              <w:t>日期：</w:t>
            </w:r>
          </w:p>
        </w:tc>
        <w:tc>
          <w:tcPr>
            <w:tcW w:w="4249" w:type="dxa"/>
            <w:vAlign w:val="center"/>
          </w:tcPr>
          <w:p>
            <w:pPr>
              <w:spacing w:line="360" w:lineRule="auto"/>
              <w:rPr>
                <w:rFonts w:eastAsia="隶书"/>
                <w:sz w:val="24"/>
              </w:rPr>
            </w:pPr>
            <w:r>
              <w:rPr>
                <w:rFonts w:eastAsia="隶书"/>
                <w:sz w:val="24"/>
              </w:rPr>
              <w:t>20</w:t>
            </w:r>
            <w:r>
              <w:rPr>
                <w:rFonts w:hint="eastAsia" w:eastAsia="隶书"/>
                <w:sz w:val="24"/>
                <w:lang w:val="en-US" w:eastAsia="zh-CN"/>
              </w:rPr>
              <w:t>20</w:t>
            </w:r>
            <w:r>
              <w:rPr>
                <w:rFonts w:eastAsia="隶书"/>
                <w:sz w:val="24"/>
              </w:rPr>
              <w:t>年</w:t>
            </w:r>
            <w:r>
              <w:rPr>
                <w:rFonts w:hint="eastAsia" w:eastAsia="隶书"/>
                <w:sz w:val="24"/>
                <w:lang w:val="en-US" w:eastAsia="zh-CN"/>
              </w:rPr>
              <w:t>10</w:t>
            </w:r>
            <w:r>
              <w:rPr>
                <w:rFonts w:eastAsia="隶书"/>
                <w:sz w:val="24"/>
              </w:rPr>
              <w:t>月</w:t>
            </w:r>
            <w:r>
              <w:rPr>
                <w:rFonts w:hint="eastAsia" w:eastAsia="隶书"/>
                <w:sz w:val="24"/>
                <w:lang w:val="en-US" w:eastAsia="zh-CN"/>
              </w:rPr>
              <w:t>06</w:t>
            </w:r>
            <w:r>
              <w:rPr>
                <w:rFonts w:eastAsia="隶书"/>
                <w:sz w:val="24"/>
              </w:rPr>
              <w:t>日</w:t>
            </w:r>
          </w:p>
        </w:tc>
      </w:tr>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Arial" w:eastAsia="隶书" w:cs="Arial"/>
                <w:sz w:val="30"/>
              </w:rPr>
            </w:pPr>
            <w:r>
              <w:rPr>
                <w:rFonts w:hint="eastAsia" w:ascii="隶书" w:hAnsi="Arial" w:eastAsia="隶书" w:cs="Arial"/>
                <w:sz w:val="30"/>
              </w:rPr>
              <w:t>修订</w:t>
            </w:r>
            <w:r>
              <w:rPr>
                <w:rFonts w:ascii="隶书" w:hAnsi="Arial" w:eastAsia="隶书" w:cs="Arial"/>
                <w:sz w:val="30"/>
              </w:rPr>
              <w:t>日期：</w:t>
            </w:r>
          </w:p>
        </w:tc>
        <w:tc>
          <w:tcPr>
            <w:tcW w:w="4249" w:type="dxa"/>
            <w:vAlign w:val="center"/>
          </w:tcPr>
          <w:p>
            <w:pPr>
              <w:spacing w:line="360" w:lineRule="auto"/>
              <w:rPr>
                <w:rFonts w:eastAsia="隶书"/>
                <w:sz w:val="24"/>
              </w:rPr>
            </w:pPr>
            <w:r>
              <w:rPr>
                <w:rFonts w:eastAsia="隶书"/>
                <w:sz w:val="24"/>
              </w:rPr>
              <w:t>20</w:t>
            </w:r>
            <w:r>
              <w:rPr>
                <w:rFonts w:hint="eastAsia" w:eastAsia="隶书"/>
                <w:sz w:val="24"/>
                <w:lang w:val="en-US" w:eastAsia="zh-CN"/>
              </w:rPr>
              <w:t>20</w:t>
            </w:r>
            <w:r>
              <w:rPr>
                <w:rFonts w:eastAsia="隶书"/>
                <w:sz w:val="24"/>
              </w:rPr>
              <w:t>年</w:t>
            </w:r>
            <w:r>
              <w:rPr>
                <w:rFonts w:hint="eastAsia" w:eastAsia="隶书"/>
                <w:sz w:val="24"/>
                <w:lang w:val="en-US" w:eastAsia="zh-CN"/>
              </w:rPr>
              <w:t>10</w:t>
            </w:r>
            <w:r>
              <w:rPr>
                <w:rFonts w:eastAsia="隶书"/>
                <w:sz w:val="24"/>
              </w:rPr>
              <w:t>月</w:t>
            </w:r>
            <w:r>
              <w:rPr>
                <w:rFonts w:hint="eastAsia" w:eastAsia="隶书"/>
                <w:sz w:val="24"/>
                <w:lang w:val="en-US" w:eastAsia="zh-CN"/>
              </w:rPr>
              <w:t>06</w:t>
            </w:r>
            <w:r>
              <w:rPr>
                <w:rFonts w:eastAsia="隶书"/>
                <w:sz w:val="24"/>
              </w:rPr>
              <w:t>日</w:t>
            </w:r>
          </w:p>
        </w:tc>
      </w:tr>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Arial" w:eastAsia="隶书" w:cs="Arial"/>
                <w:sz w:val="30"/>
              </w:rPr>
            </w:pPr>
            <w:r>
              <w:rPr>
                <w:rFonts w:ascii="隶书" w:hAnsi="Arial" w:eastAsia="隶书" w:cs="Arial"/>
                <w:sz w:val="30"/>
              </w:rPr>
              <w:t>实施日期：</w:t>
            </w:r>
          </w:p>
        </w:tc>
        <w:tc>
          <w:tcPr>
            <w:tcW w:w="4249" w:type="dxa"/>
            <w:vAlign w:val="center"/>
          </w:tcPr>
          <w:p>
            <w:pPr>
              <w:spacing w:line="360" w:lineRule="auto"/>
              <w:rPr>
                <w:rFonts w:eastAsia="隶书"/>
                <w:sz w:val="24"/>
              </w:rPr>
            </w:pPr>
            <w:r>
              <w:rPr>
                <w:rFonts w:eastAsia="隶书"/>
                <w:sz w:val="24"/>
              </w:rPr>
              <w:t>20</w:t>
            </w:r>
            <w:r>
              <w:rPr>
                <w:rFonts w:hint="eastAsia" w:eastAsia="隶书"/>
                <w:sz w:val="24"/>
                <w:lang w:val="en-US" w:eastAsia="zh-CN"/>
              </w:rPr>
              <w:t>20</w:t>
            </w:r>
            <w:r>
              <w:rPr>
                <w:rFonts w:eastAsia="隶书"/>
                <w:sz w:val="24"/>
              </w:rPr>
              <w:t>年</w:t>
            </w:r>
            <w:r>
              <w:rPr>
                <w:rFonts w:hint="eastAsia" w:eastAsia="隶书"/>
                <w:sz w:val="24"/>
                <w:lang w:val="en-US" w:eastAsia="zh-CN"/>
              </w:rPr>
              <w:t>10</w:t>
            </w:r>
            <w:r>
              <w:rPr>
                <w:rFonts w:eastAsia="隶书"/>
                <w:sz w:val="24"/>
              </w:rPr>
              <w:t>月</w:t>
            </w:r>
            <w:r>
              <w:rPr>
                <w:rFonts w:hint="eastAsia" w:eastAsia="隶书"/>
                <w:sz w:val="24"/>
                <w:lang w:val="en-US" w:eastAsia="zh-CN"/>
              </w:rPr>
              <w:t>06</w:t>
            </w:r>
            <w:r>
              <w:rPr>
                <w:rFonts w:eastAsia="隶书"/>
                <w:sz w:val="24"/>
              </w:rPr>
              <w:t>日</w:t>
            </w:r>
          </w:p>
        </w:tc>
      </w:tr>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Arial" w:eastAsia="隶书" w:cs="Arial"/>
                <w:sz w:val="30"/>
              </w:rPr>
            </w:pPr>
            <w:r>
              <w:rPr>
                <w:rFonts w:hint="eastAsia" w:ascii="隶书" w:hAnsi="Arial" w:eastAsia="隶书" w:cs="Arial"/>
                <w:sz w:val="30"/>
              </w:rPr>
              <w:t>批准：</w:t>
            </w:r>
          </w:p>
        </w:tc>
        <w:tc>
          <w:tcPr>
            <w:tcW w:w="4249" w:type="dxa"/>
            <w:vAlign w:val="center"/>
          </w:tcPr>
          <w:p>
            <w:pPr>
              <w:spacing w:line="360" w:lineRule="auto"/>
              <w:rPr>
                <w:rFonts w:hint="eastAsia" w:eastAsia="隶书"/>
                <w:sz w:val="24"/>
                <w:lang w:eastAsia="zh-CN"/>
              </w:rPr>
            </w:pPr>
            <w:r>
              <w:rPr>
                <w:rFonts w:hint="eastAsia" w:eastAsia="隶书"/>
                <w:sz w:val="24"/>
                <w:lang w:eastAsia="zh-CN"/>
              </w:rPr>
              <w:drawing>
                <wp:inline distT="0" distB="0" distL="114300" distR="114300">
                  <wp:extent cx="1226820" cy="521335"/>
                  <wp:effectExtent l="0" t="0" r="11430" b="12065"/>
                  <wp:docPr id="4" name="图片 4" descr="沈万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沈万里"/>
                          <pic:cNvPicPr>
                            <a:picLocks noChangeAspect="1"/>
                          </pic:cNvPicPr>
                        </pic:nvPicPr>
                        <pic:blipFill>
                          <a:blip r:embed="rId8"/>
                          <a:stretch>
                            <a:fillRect/>
                          </a:stretch>
                        </pic:blipFill>
                        <pic:spPr>
                          <a:xfrm>
                            <a:off x="0" y="0"/>
                            <a:ext cx="1226820" cy="521335"/>
                          </a:xfrm>
                          <a:prstGeom prst="rect">
                            <a:avLst/>
                          </a:prstGeom>
                        </pic:spPr>
                      </pic:pic>
                    </a:graphicData>
                  </a:graphic>
                </wp:inline>
              </w:drawing>
            </w:r>
          </w:p>
        </w:tc>
      </w:tr>
    </w:tbl>
    <w:p>
      <w:pPr>
        <w:spacing w:line="360" w:lineRule="auto"/>
        <w:rPr>
          <w:rFonts w:ascii="黑体" w:hAnsi="宋体" w:eastAsia="黑体"/>
          <w:szCs w:val="21"/>
        </w:rPr>
      </w:pPr>
    </w:p>
    <w:p>
      <w:pPr>
        <w:spacing w:line="360" w:lineRule="auto"/>
        <w:rPr>
          <w:rFonts w:eastAsia="方正姚体"/>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ind w:left="50"/>
        <w:jc w:val="center"/>
        <w:rPr>
          <w:rFonts w:hint="eastAsia" w:ascii="宋体" w:hAnsi="宋体"/>
          <w:b/>
          <w:szCs w:val="21"/>
        </w:rPr>
      </w:pPr>
    </w:p>
    <w:p>
      <w:pPr>
        <w:spacing w:line="360" w:lineRule="auto"/>
        <w:ind w:left="50"/>
        <w:jc w:val="center"/>
        <w:rPr>
          <w:rFonts w:ascii="宋体" w:hAnsi="宋体"/>
          <w:b/>
          <w:szCs w:val="21"/>
        </w:rPr>
      </w:pPr>
      <w:r>
        <w:rPr>
          <w:rFonts w:hint="eastAsia" w:ascii="宋体" w:hAnsi="宋体"/>
          <w:b/>
          <w:szCs w:val="21"/>
        </w:rPr>
        <w:t>目录</w:t>
      </w:r>
    </w:p>
    <w:p>
      <w:pPr>
        <w:pStyle w:val="21"/>
        <w:tabs>
          <w:tab w:val="right" w:leader="dot" w:pos="8296"/>
        </w:tabs>
        <w:rPr>
          <w:rFonts w:asciiTheme="minorHAnsi" w:hAnsiTheme="minorHAnsi" w:eastAsiaTheme="minorEastAsia" w:cstheme="minorBidi"/>
          <w:szCs w:val="22"/>
        </w:rPr>
      </w:pPr>
      <w:r>
        <w:rPr>
          <w:rFonts w:ascii="宋体" w:hAnsi="宋体"/>
          <w:b/>
          <w:sz w:val="24"/>
        </w:rPr>
        <w:fldChar w:fldCharType="begin"/>
      </w:r>
      <w:r>
        <w:rPr>
          <w:rFonts w:ascii="宋体" w:hAnsi="宋体"/>
          <w:b/>
          <w:sz w:val="24"/>
        </w:rPr>
        <w:instrText xml:space="preserve"> TOC \o "1-2" \h \z \u </w:instrText>
      </w:r>
      <w:r>
        <w:rPr>
          <w:rFonts w:ascii="宋体" w:hAnsi="宋体"/>
          <w:b/>
          <w:sz w:val="24"/>
        </w:rPr>
        <w:fldChar w:fldCharType="separate"/>
      </w:r>
      <w:r>
        <w:fldChar w:fldCharType="begin"/>
      </w:r>
      <w:r>
        <w:instrText xml:space="preserve"> HYPERLINK \l "_Toc475693125" </w:instrText>
      </w:r>
      <w:r>
        <w:fldChar w:fldCharType="separate"/>
      </w:r>
      <w:r>
        <w:rPr>
          <w:rStyle w:val="33"/>
        </w:rPr>
        <w:t>1适用范围</w:t>
      </w:r>
      <w:r>
        <w:tab/>
      </w:r>
      <w:r>
        <w:fldChar w:fldCharType="begin"/>
      </w:r>
      <w:r>
        <w:instrText xml:space="preserve"> PAGEREF _Toc475693125 \h </w:instrText>
      </w:r>
      <w:r>
        <w:fldChar w:fldCharType="separate"/>
      </w:r>
      <w:r>
        <w:t>3</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"_Toc475693126" </w:instrText>
      </w:r>
      <w:r>
        <w:fldChar w:fldCharType="separate"/>
      </w:r>
      <w:r>
        <w:rPr>
          <w:rStyle w:val="33"/>
        </w:rPr>
        <w:t>2认证基本要求</w:t>
      </w:r>
      <w:r>
        <w:tab/>
      </w:r>
      <w:r>
        <w:fldChar w:fldCharType="begin"/>
      </w:r>
      <w:r>
        <w:instrText xml:space="preserve"> PAGEREF _Toc475693126 \h </w:instrText>
      </w:r>
      <w:r>
        <w:fldChar w:fldCharType="separate"/>
      </w:r>
      <w:r>
        <w:t>3</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"_Toc475693127" </w:instrText>
      </w:r>
      <w:r>
        <w:fldChar w:fldCharType="separate"/>
      </w:r>
      <w:r>
        <w:rPr>
          <w:rStyle w:val="33"/>
        </w:rPr>
        <w:t>2.1认证模式</w:t>
      </w:r>
      <w:r>
        <w:tab/>
      </w:r>
      <w:bookmarkStart w:id="114" w:name="_GoBack"/>
      <w:bookmarkEnd w:id="114"/>
      <w:r>
        <w:fldChar w:fldCharType="begin"/>
      </w:r>
      <w:r>
        <w:instrText xml:space="preserve"> PAGEREF _Toc475693127 \h </w:instrText>
      </w:r>
      <w:r>
        <w:fldChar w:fldCharType="separate"/>
      </w:r>
      <w:r>
        <w:t>3</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"_Toc475693128" </w:instrText>
      </w:r>
      <w:r>
        <w:fldChar w:fldCharType="separate"/>
      </w:r>
      <w:r>
        <w:rPr>
          <w:rStyle w:val="33"/>
        </w:rPr>
        <w:t>2.2认证依据</w:t>
      </w:r>
      <w:r>
        <w:tab/>
      </w:r>
      <w:r>
        <w:fldChar w:fldCharType="begin"/>
      </w:r>
      <w:r>
        <w:instrText xml:space="preserve"> PAGEREF _Toc475693128 \h </w:instrText>
      </w:r>
      <w:r>
        <w:fldChar w:fldCharType="separate"/>
      </w:r>
      <w:r>
        <w:t>3</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"_Toc475693129" </w:instrText>
      </w:r>
      <w:r>
        <w:fldChar w:fldCharType="separate"/>
      </w:r>
      <w:r>
        <w:rPr>
          <w:rStyle w:val="33"/>
        </w:rPr>
        <w:t>3 认证过程流程图</w:t>
      </w:r>
      <w:r>
        <w:tab/>
      </w:r>
      <w:r>
        <w:fldChar w:fldCharType="begin"/>
      </w:r>
      <w:r>
        <w:instrText xml:space="preserve"> PAGEREF _Toc475693129 \h </w:instrText>
      </w:r>
      <w:r>
        <w:fldChar w:fldCharType="separate"/>
      </w:r>
      <w:r>
        <w:t>4</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"_Toc475693130" </w:instrText>
      </w:r>
      <w:r>
        <w:fldChar w:fldCharType="separate"/>
      </w:r>
      <w:r>
        <w:rPr>
          <w:rStyle w:val="33"/>
        </w:rPr>
        <w:t>4认证人员能力要求</w:t>
      </w:r>
      <w:r>
        <w:tab/>
      </w:r>
      <w:r>
        <w:fldChar w:fldCharType="begin"/>
      </w:r>
      <w:r>
        <w:instrText xml:space="preserve"> PAGEREF _Toc475693130 \h </w:instrText>
      </w:r>
      <w:r>
        <w:fldChar w:fldCharType="separate"/>
      </w:r>
      <w:r>
        <w:t>4</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"_Toc475693131" </w:instrText>
      </w:r>
      <w:r>
        <w:fldChar w:fldCharType="separate"/>
      </w:r>
      <w:r>
        <w:rPr>
          <w:rStyle w:val="33"/>
        </w:rPr>
        <w:t>4.1HSE认证人员基本要求</w:t>
      </w:r>
      <w:r>
        <w:tab/>
      </w:r>
      <w:r>
        <w:fldChar w:fldCharType="begin"/>
      </w:r>
      <w:r>
        <w:instrText xml:space="preserve"> PAGEREF _Toc475693131 \h </w:instrText>
      </w:r>
      <w:r>
        <w:fldChar w:fldCharType="separate"/>
      </w:r>
      <w:r>
        <w:t>4</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"_Toc475693132" </w:instrText>
      </w:r>
      <w:r>
        <w:fldChar w:fldCharType="separate"/>
      </w:r>
      <w:r>
        <w:rPr>
          <w:rStyle w:val="33"/>
        </w:rPr>
        <w:t>4.2认证项目管理人员能力要求</w:t>
      </w:r>
      <w:r>
        <w:tab/>
      </w:r>
      <w:r>
        <w:fldChar w:fldCharType="begin"/>
      </w:r>
      <w:r>
        <w:instrText xml:space="preserve"> PAGEREF _Toc475693132 \h </w:instrText>
      </w:r>
      <w:r>
        <w:fldChar w:fldCharType="separate"/>
      </w:r>
      <w:r>
        <w:t>4</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"_Toc475693133" </w:instrText>
      </w:r>
      <w:r>
        <w:fldChar w:fldCharType="separate"/>
      </w:r>
      <w:r>
        <w:rPr>
          <w:rStyle w:val="33"/>
        </w:rPr>
        <w:t>4.3HSE审核组长要求</w:t>
      </w:r>
      <w:r>
        <w:tab/>
      </w:r>
      <w:r>
        <w:fldChar w:fldCharType="begin"/>
      </w:r>
      <w:r>
        <w:instrText xml:space="preserve"> PAGEREF _Toc475693133 \h </w:instrText>
      </w:r>
      <w:r>
        <w:fldChar w:fldCharType="separate"/>
      </w:r>
      <w:r>
        <w:t>5</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"_Toc475693134" </w:instrText>
      </w:r>
      <w:r>
        <w:fldChar w:fldCharType="separate"/>
      </w:r>
      <w:r>
        <w:rPr>
          <w:rStyle w:val="33"/>
        </w:rPr>
        <w:t>4.4HSE专业审核员/审定人员/技术专家要求</w:t>
      </w:r>
      <w:r>
        <w:tab/>
      </w:r>
      <w:r>
        <w:fldChar w:fldCharType="begin"/>
      </w:r>
      <w:r>
        <w:instrText xml:space="preserve"> PAGEREF _Toc475693134 \h </w:instrText>
      </w:r>
      <w:r>
        <w:fldChar w:fldCharType="separate"/>
      </w:r>
      <w:r>
        <w:t>5</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"_Toc475693135" </w:instrText>
      </w:r>
      <w:r>
        <w:fldChar w:fldCharType="separate"/>
      </w:r>
      <w:r>
        <w:rPr>
          <w:rStyle w:val="33"/>
        </w:rPr>
        <w:t>4.5HSE人员评价</w:t>
      </w:r>
      <w:r>
        <w:tab/>
      </w:r>
      <w:r>
        <w:fldChar w:fldCharType="begin"/>
      </w:r>
      <w:r>
        <w:instrText xml:space="preserve"> PAGEREF _Toc475693135 \h </w:instrText>
      </w:r>
      <w:r>
        <w:fldChar w:fldCharType="separate"/>
      </w:r>
      <w:r>
        <w:t>5</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"_Toc475693136" </w:instrText>
      </w:r>
      <w:r>
        <w:fldChar w:fldCharType="separate"/>
      </w:r>
      <w:r>
        <w:rPr>
          <w:rStyle w:val="33"/>
        </w:rPr>
        <w:t>5认证申请的基本条件</w:t>
      </w:r>
      <w:r>
        <w:tab/>
      </w:r>
      <w:r>
        <w:fldChar w:fldCharType="begin"/>
      </w:r>
      <w:r>
        <w:instrText xml:space="preserve"> PAGEREF _Toc475693136 \h </w:instrText>
      </w:r>
      <w:r>
        <w:fldChar w:fldCharType="separate"/>
      </w:r>
      <w:r>
        <w:t>5</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"_Toc475693137" </w:instrText>
      </w:r>
      <w:r>
        <w:fldChar w:fldCharType="separate"/>
      </w:r>
      <w:r>
        <w:rPr>
          <w:rStyle w:val="33"/>
        </w:rPr>
        <w:t>6认证受理</w:t>
      </w:r>
      <w:r>
        <w:tab/>
      </w:r>
      <w:r>
        <w:fldChar w:fldCharType="begin"/>
      </w:r>
      <w:r>
        <w:instrText xml:space="preserve"> PAGEREF _Toc475693137 \h </w:instrText>
      </w:r>
      <w:r>
        <w:fldChar w:fldCharType="separate"/>
      </w:r>
      <w:r>
        <w:t>5</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"_Toc475693138" </w:instrText>
      </w:r>
      <w:r>
        <w:fldChar w:fldCharType="separate"/>
      </w:r>
      <w:r>
        <w:rPr>
          <w:rStyle w:val="33"/>
        </w:rPr>
        <w:t>6.1 认证申请</w:t>
      </w:r>
      <w:r>
        <w:tab/>
      </w:r>
      <w:r>
        <w:fldChar w:fldCharType="begin"/>
      </w:r>
      <w:r>
        <w:instrText xml:space="preserve"> PAGEREF _Toc475693138 \h </w:instrText>
      </w:r>
      <w:r>
        <w:fldChar w:fldCharType="separate"/>
      </w:r>
      <w:r>
        <w:t>5</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"_Toc475693139" </w:instrText>
      </w:r>
      <w:r>
        <w:fldChar w:fldCharType="separate"/>
      </w:r>
      <w:r>
        <w:rPr>
          <w:rStyle w:val="33"/>
        </w:rPr>
        <w:t>6.2合同评审</w:t>
      </w:r>
      <w:r>
        <w:tab/>
      </w:r>
      <w:r>
        <w:fldChar w:fldCharType="begin"/>
      </w:r>
      <w:r>
        <w:instrText xml:space="preserve"> PAGEREF _Toc475693139 \h </w:instrText>
      </w:r>
      <w:r>
        <w:fldChar w:fldCharType="separate"/>
      </w:r>
      <w:r>
        <w:t>6</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"_Toc475693140" </w:instrText>
      </w:r>
      <w:r>
        <w:fldChar w:fldCharType="separate"/>
      </w:r>
      <w:r>
        <w:rPr>
          <w:rStyle w:val="33"/>
        </w:rPr>
        <w:t>6.2审核策划</w:t>
      </w:r>
      <w:r>
        <w:tab/>
      </w:r>
      <w:r>
        <w:fldChar w:fldCharType="begin"/>
      </w:r>
      <w:r>
        <w:instrText xml:space="preserve"> PAGEREF _Toc475693140 \h </w:instrText>
      </w:r>
      <w:r>
        <w:fldChar w:fldCharType="separate"/>
      </w:r>
      <w:r>
        <w:t>6</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"_Toc475693141" </w:instrText>
      </w:r>
      <w:r>
        <w:fldChar w:fldCharType="separate"/>
      </w:r>
      <w:r>
        <w:rPr>
          <w:rStyle w:val="33"/>
        </w:rPr>
        <w:t>7审核实施</w:t>
      </w:r>
      <w:r>
        <w:tab/>
      </w:r>
      <w:r>
        <w:fldChar w:fldCharType="begin"/>
      </w:r>
      <w:r>
        <w:instrText xml:space="preserve"> PAGEREF _Toc475693141 \h </w:instrText>
      </w:r>
      <w:r>
        <w:fldChar w:fldCharType="separate"/>
      </w:r>
      <w:r>
        <w:t>7</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"_Toc475693142" </w:instrText>
      </w:r>
      <w:r>
        <w:fldChar w:fldCharType="separate"/>
      </w:r>
      <w:r>
        <w:rPr>
          <w:rStyle w:val="33"/>
        </w:rPr>
        <w:t>7.1 审核实施</w:t>
      </w:r>
      <w:r>
        <w:tab/>
      </w:r>
      <w:r>
        <w:fldChar w:fldCharType="begin"/>
      </w:r>
      <w:r>
        <w:instrText xml:space="preserve"> PAGEREF _Toc475693142 \h </w:instrText>
      </w:r>
      <w:r>
        <w:fldChar w:fldCharType="separate"/>
      </w:r>
      <w:r>
        <w:t>7</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"_Toc475693143" </w:instrText>
      </w:r>
      <w:r>
        <w:fldChar w:fldCharType="separate"/>
      </w:r>
      <w:r>
        <w:rPr>
          <w:rStyle w:val="33"/>
        </w:rPr>
        <w:t>8认证的批准、保持、扩大、缩小、暂停、恢复和撤消的条件和程序</w:t>
      </w:r>
      <w:r>
        <w:tab/>
      </w:r>
      <w:r>
        <w:fldChar w:fldCharType="begin"/>
      </w:r>
      <w:r>
        <w:instrText xml:space="preserve"> PAGEREF _Toc475693143 \h </w:instrText>
      </w:r>
      <w:r>
        <w:fldChar w:fldCharType="separate"/>
      </w:r>
      <w:r>
        <w:t>10</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"_Toc475693144" </w:instrText>
      </w:r>
      <w:r>
        <w:fldChar w:fldCharType="separate"/>
      </w:r>
      <w:r>
        <w:rPr>
          <w:rStyle w:val="33"/>
        </w:rPr>
        <w:t>8.1 批准认证资格的条件和程序</w:t>
      </w:r>
      <w:r>
        <w:tab/>
      </w:r>
      <w:r>
        <w:fldChar w:fldCharType="begin"/>
      </w:r>
      <w:r>
        <w:instrText xml:space="preserve"> PAGEREF _Toc475693144 \h </w:instrText>
      </w:r>
      <w:r>
        <w:fldChar w:fldCharType="separate"/>
      </w:r>
      <w:r>
        <w:t>10</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"_Toc475693145" </w:instrText>
      </w:r>
      <w:r>
        <w:fldChar w:fldCharType="separate"/>
      </w:r>
      <w:r>
        <w:rPr>
          <w:rStyle w:val="33"/>
        </w:rPr>
        <w:t>8.2 保持认证资格的条件和程序</w:t>
      </w:r>
      <w:r>
        <w:tab/>
      </w:r>
      <w:r>
        <w:fldChar w:fldCharType="begin"/>
      </w:r>
      <w:r>
        <w:instrText xml:space="preserve"> PAGEREF _Toc475693145 \h </w:instrText>
      </w:r>
      <w:r>
        <w:fldChar w:fldCharType="separate"/>
      </w:r>
      <w:r>
        <w:t>11</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"_Toc475693146" </w:instrText>
      </w:r>
      <w:r>
        <w:fldChar w:fldCharType="separate"/>
      </w:r>
      <w:r>
        <w:rPr>
          <w:rStyle w:val="33"/>
        </w:rPr>
        <w:t>8.3 扩大认证范围的条件和程序</w:t>
      </w:r>
      <w:r>
        <w:tab/>
      </w:r>
      <w:r>
        <w:fldChar w:fldCharType="begin"/>
      </w:r>
      <w:r>
        <w:instrText xml:space="preserve"> PAGEREF _Toc475693146 \h </w:instrText>
      </w:r>
      <w:r>
        <w:fldChar w:fldCharType="separate"/>
      </w:r>
      <w:r>
        <w:t>12</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"_Toc475693147" </w:instrText>
      </w:r>
      <w:r>
        <w:fldChar w:fldCharType="separate"/>
      </w:r>
      <w:r>
        <w:rPr>
          <w:rStyle w:val="33"/>
        </w:rPr>
        <w:t>8.4 缩小认证范围的条件和程序</w:t>
      </w:r>
      <w:r>
        <w:tab/>
      </w:r>
      <w:r>
        <w:fldChar w:fldCharType="begin"/>
      </w:r>
      <w:r>
        <w:instrText xml:space="preserve"> PAGEREF _Toc475693147 \h </w:instrText>
      </w:r>
      <w:r>
        <w:fldChar w:fldCharType="separate"/>
      </w:r>
      <w:r>
        <w:t>13</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"_Toc475693148" </w:instrText>
      </w:r>
      <w:r>
        <w:fldChar w:fldCharType="separate"/>
      </w:r>
      <w:r>
        <w:rPr>
          <w:rStyle w:val="33"/>
        </w:rPr>
        <w:t>8.5 暂停认证资格的条件和程序</w:t>
      </w:r>
      <w:r>
        <w:tab/>
      </w:r>
      <w:r>
        <w:fldChar w:fldCharType="begin"/>
      </w:r>
      <w:r>
        <w:instrText xml:space="preserve"> PAGEREF _Toc475693148 \h </w:instrText>
      </w:r>
      <w:r>
        <w:fldChar w:fldCharType="separate"/>
      </w:r>
      <w:r>
        <w:t>13</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"_Toc475693149" </w:instrText>
      </w:r>
      <w:r>
        <w:fldChar w:fldCharType="separate"/>
      </w:r>
      <w:r>
        <w:rPr>
          <w:rStyle w:val="33"/>
        </w:rPr>
        <w:t>8.6 恢复认证资格的条件和程序</w:t>
      </w:r>
      <w:r>
        <w:tab/>
      </w:r>
      <w:r>
        <w:fldChar w:fldCharType="begin"/>
      </w:r>
      <w:r>
        <w:instrText xml:space="preserve"> PAGEREF _Toc475693149 \h </w:instrText>
      </w:r>
      <w:r>
        <w:fldChar w:fldCharType="separate"/>
      </w:r>
      <w:r>
        <w:t>14</w:t>
      </w:r>
      <w:r>
        <w:fldChar w:fldCharType="end"/>
      </w:r>
      <w:r>
        <w:fldChar w:fldCharType="end"/>
      </w:r>
    </w:p>
    <w:p>
      <w:pPr>
        <w:pStyle w:val="24"/>
        <w:tabs>
          <w:tab w:val="right" w:leader="dot" w:pos="8296"/>
        </w:tabs>
        <w:rPr>
          <w:rFonts w:asciiTheme="minorHAnsi" w:hAnsiTheme="minorHAnsi" w:eastAsiaTheme="minorEastAsia" w:cstheme="minorBidi"/>
          <w:smallCaps w:val="0"/>
          <w:szCs w:val="22"/>
        </w:rPr>
      </w:pPr>
      <w:r>
        <w:fldChar w:fldCharType="begin"/>
      </w:r>
      <w:r>
        <w:instrText xml:space="preserve"> HYPERLINK \l "_Toc475693150" </w:instrText>
      </w:r>
      <w:r>
        <w:fldChar w:fldCharType="separate"/>
      </w:r>
      <w:r>
        <w:rPr>
          <w:rStyle w:val="33"/>
        </w:rPr>
        <w:t>8.7 撤消认证资格的条件和程序</w:t>
      </w:r>
      <w:r>
        <w:tab/>
      </w:r>
      <w:r>
        <w:fldChar w:fldCharType="begin"/>
      </w:r>
      <w:r>
        <w:instrText xml:space="preserve"> PAGEREF _Toc475693150 \h </w:instrText>
      </w:r>
      <w:r>
        <w:fldChar w:fldCharType="separate"/>
      </w:r>
      <w:r>
        <w:t>15</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"_Toc475693151" </w:instrText>
      </w:r>
      <w:r>
        <w:fldChar w:fldCharType="separate"/>
      </w:r>
      <w:r>
        <w:rPr>
          <w:rStyle w:val="33"/>
        </w:rPr>
        <w:t>9认证证书管理</w:t>
      </w:r>
      <w:r>
        <w:tab/>
      </w:r>
      <w:r>
        <w:fldChar w:fldCharType="begin"/>
      </w:r>
      <w:r>
        <w:instrText xml:space="preserve"> PAGEREF _Toc475693151 \h </w:instrText>
      </w:r>
      <w:r>
        <w:fldChar w:fldCharType="separate"/>
      </w:r>
      <w:r>
        <w:t>16</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"_Toc475693152" </w:instrText>
      </w:r>
      <w:r>
        <w:fldChar w:fldCharType="separate"/>
      </w:r>
      <w:r>
        <w:rPr>
          <w:rStyle w:val="33"/>
        </w:rPr>
        <w:t>10信息通报</w:t>
      </w:r>
      <w:r>
        <w:tab/>
      </w:r>
      <w:r>
        <w:fldChar w:fldCharType="begin"/>
      </w:r>
      <w:r>
        <w:instrText xml:space="preserve"> PAGEREF _Toc475693152 \h </w:instrText>
      </w:r>
      <w:r>
        <w:fldChar w:fldCharType="separate"/>
      </w:r>
      <w:r>
        <w:t>16</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"_Toc475693153" </w:instrText>
      </w:r>
      <w:r>
        <w:fldChar w:fldCharType="separate"/>
      </w:r>
      <w:r>
        <w:rPr>
          <w:rStyle w:val="33"/>
        </w:rPr>
        <w:t>11认证要求变更</w:t>
      </w:r>
      <w:r>
        <w:tab/>
      </w:r>
      <w:r>
        <w:fldChar w:fldCharType="begin"/>
      </w:r>
      <w:r>
        <w:instrText xml:space="preserve"> PAGEREF _Toc475693153 \h </w:instrText>
      </w:r>
      <w:r>
        <w:fldChar w:fldCharType="separate"/>
      </w:r>
      <w:r>
        <w:t>16</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"_Toc475693154" </w:instrText>
      </w:r>
      <w:r>
        <w:fldChar w:fldCharType="separate"/>
      </w:r>
      <w:r>
        <w:rPr>
          <w:rStyle w:val="33"/>
        </w:rPr>
        <w:t>12保密</w:t>
      </w:r>
      <w:r>
        <w:tab/>
      </w:r>
      <w:r>
        <w:fldChar w:fldCharType="begin"/>
      </w:r>
      <w:r>
        <w:instrText xml:space="preserve"> PAGEREF _Toc475693154 \h </w:instrText>
      </w:r>
      <w:r>
        <w:fldChar w:fldCharType="separate"/>
      </w:r>
      <w:r>
        <w:t>17</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"_Toc475693155" </w:instrText>
      </w:r>
      <w:r>
        <w:fldChar w:fldCharType="separate"/>
      </w:r>
      <w:r>
        <w:rPr>
          <w:rStyle w:val="33"/>
        </w:rPr>
        <w:t>13、申诉/投诉、争议及处理</w:t>
      </w:r>
      <w:r>
        <w:tab/>
      </w:r>
      <w:r>
        <w:fldChar w:fldCharType="begin"/>
      </w:r>
      <w:r>
        <w:instrText xml:space="preserve"> PAGEREF _Toc475693155 \h </w:instrText>
      </w:r>
      <w:r>
        <w:fldChar w:fldCharType="separate"/>
      </w:r>
      <w:r>
        <w:t>17</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"_Toc475693156" </w:instrText>
      </w:r>
      <w:r>
        <w:fldChar w:fldCharType="separate"/>
      </w:r>
      <w:r>
        <w:rPr>
          <w:rStyle w:val="33"/>
        </w:rPr>
        <w:t>14审核人日</w:t>
      </w:r>
      <w:r>
        <w:tab/>
      </w:r>
      <w:r>
        <w:fldChar w:fldCharType="begin"/>
      </w:r>
      <w:r>
        <w:instrText xml:space="preserve"> PAGEREF _Toc475693156 \h </w:instrText>
      </w:r>
      <w:r>
        <w:fldChar w:fldCharType="separate"/>
      </w:r>
      <w:r>
        <w:t>17</w:t>
      </w:r>
      <w:r>
        <w:fldChar w:fldCharType="end"/>
      </w:r>
      <w:r>
        <w:fldChar w:fldCharType="end"/>
      </w:r>
    </w:p>
    <w:p>
      <w:pPr>
        <w:pStyle w:val="21"/>
        <w:tabs>
          <w:tab w:val="right" w:leader="dot" w:pos="8296"/>
        </w:tabs>
        <w:rPr>
          <w:rFonts w:asciiTheme="minorHAnsi" w:hAnsiTheme="minorHAnsi" w:eastAsiaTheme="minorEastAsia" w:cstheme="minorBidi"/>
          <w:szCs w:val="22"/>
        </w:rPr>
      </w:pPr>
      <w:r>
        <w:fldChar w:fldCharType="begin"/>
      </w:r>
      <w:r>
        <w:instrText xml:space="preserve"> HYPERLINK \l "_Toc475693157" </w:instrText>
      </w:r>
      <w:r>
        <w:fldChar w:fldCharType="separate"/>
      </w:r>
      <w:r>
        <w:rPr>
          <w:rStyle w:val="33"/>
        </w:rPr>
        <w:t>15附则</w:t>
      </w:r>
      <w:r>
        <w:tab/>
      </w:r>
      <w:r>
        <w:fldChar w:fldCharType="begin"/>
      </w:r>
      <w:r>
        <w:instrText xml:space="preserve"> PAGEREF _Toc475693157 \h </w:instrText>
      </w:r>
      <w:r>
        <w:fldChar w:fldCharType="separate"/>
      </w:r>
      <w:r>
        <w:t>17</w:t>
      </w:r>
      <w:r>
        <w:fldChar w:fldCharType="end"/>
      </w:r>
      <w:r>
        <w:fldChar w:fldCharType="end"/>
      </w:r>
    </w:p>
    <w:p>
      <w:pPr>
        <w:spacing w:line="360" w:lineRule="exact"/>
        <w:rPr>
          <w:rFonts w:ascii="宋体" w:hAnsi="宋体"/>
          <w:b/>
          <w:szCs w:val="21"/>
        </w:rPr>
      </w:pPr>
      <w:r>
        <w:rPr>
          <w:rFonts w:ascii="宋体" w:hAnsi="宋体"/>
          <w:b/>
          <w:sz w:val="24"/>
        </w:rPr>
        <w:fldChar w:fldCharType="end"/>
      </w:r>
    </w:p>
    <w:p>
      <w:pPr>
        <w:spacing w:line="360" w:lineRule="auto"/>
        <w:rPr>
          <w:rFonts w:ascii="宋体" w:hAnsi="宋体" w:cs="Arial"/>
          <w:b/>
          <w:szCs w:val="21"/>
        </w:rPr>
      </w:pPr>
    </w:p>
    <w:p>
      <w:pPr>
        <w:spacing w:line="360" w:lineRule="auto"/>
        <w:rPr>
          <w:rFonts w:ascii="宋体" w:hAnsi="宋体" w:cs="Arial"/>
          <w:b/>
          <w:szCs w:val="21"/>
        </w:rPr>
      </w:pPr>
    </w:p>
    <w:p>
      <w:pPr>
        <w:spacing w:line="360" w:lineRule="auto"/>
        <w:rPr>
          <w:rFonts w:hint="eastAsia" w:ascii="宋体" w:hAnsi="宋体" w:cs="Arial"/>
          <w:b/>
          <w:szCs w:val="21"/>
        </w:rPr>
      </w:pPr>
    </w:p>
    <w:p>
      <w:pPr>
        <w:spacing w:beforeLines="50"/>
        <w:jc w:val="center"/>
        <w:rPr>
          <w:sz w:val="30"/>
          <w:szCs w:val="30"/>
        </w:rPr>
      </w:pPr>
      <w:r>
        <w:rPr>
          <w:rFonts w:hint="eastAsia" w:ascii="黑体" w:hAnsi="黑体" w:eastAsia="黑体"/>
          <w:bCs/>
          <w:sz w:val="30"/>
          <w:szCs w:val="30"/>
        </w:rPr>
        <w:t>HSE管理体系认证实施方案</w:t>
      </w:r>
    </w:p>
    <w:p>
      <w:pPr>
        <w:spacing w:line="360" w:lineRule="auto"/>
        <w:rPr>
          <w:rFonts w:ascii="宋体" w:hAnsi="宋体" w:cs="Arial"/>
          <w:b/>
          <w:szCs w:val="21"/>
        </w:rPr>
      </w:pPr>
    </w:p>
    <w:p>
      <w:pPr>
        <w:pStyle w:val="2"/>
        <w:spacing w:line="360" w:lineRule="auto"/>
      </w:pPr>
      <w:bookmarkStart w:id="0" w:name="_Toc475693125"/>
      <w:r>
        <w:t>1</w:t>
      </w:r>
      <w:r>
        <w:rPr>
          <w:rFonts w:hint="eastAsia"/>
        </w:rPr>
        <w:t>适用范围</w:t>
      </w:r>
      <w:bookmarkEnd w:id="0"/>
    </w:p>
    <w:p>
      <w:pPr>
        <w:spacing w:line="360" w:lineRule="auto"/>
        <w:ind w:left="50" w:leftChars="24" w:firstLine="480" w:firstLineChars="200"/>
        <w:rPr>
          <w:sz w:val="24"/>
        </w:rPr>
      </w:pPr>
      <w:r>
        <w:rPr>
          <w:rFonts w:hint="eastAsia"/>
          <w:sz w:val="24"/>
        </w:rPr>
        <w:t>本文件适用于</w:t>
      </w:r>
      <w:r>
        <w:rPr>
          <w:rFonts w:hint="eastAsia" w:ascii="宋体" w:hAnsi="宋体"/>
          <w:sz w:val="24"/>
        </w:rPr>
        <w:t>认</w:t>
      </w:r>
      <w:r>
        <w:rPr>
          <w:rFonts w:hint="eastAsia" w:ascii="宋体" w:hAnsi="宋体"/>
          <w:sz w:val="24"/>
          <w:lang w:eastAsia="zh-CN"/>
        </w:rPr>
        <w:t>万里国际认证有限公司</w:t>
      </w:r>
      <w:r>
        <w:rPr>
          <w:rFonts w:hint="eastAsia" w:ascii="宋体" w:hAnsi="宋体"/>
          <w:sz w:val="24"/>
        </w:rPr>
        <w:t>（以下简称：</w:t>
      </w:r>
      <w:r>
        <w:rPr>
          <w:rFonts w:hint="eastAsia" w:ascii="宋体" w:hAnsi="宋体"/>
          <w:sz w:val="24"/>
          <w:lang w:eastAsia="zh-CN"/>
        </w:rPr>
        <w:t>WLGJ</w:t>
      </w:r>
      <w:r>
        <w:rPr>
          <w:rFonts w:hint="eastAsia" w:ascii="宋体" w:hAnsi="宋体"/>
          <w:sz w:val="24"/>
        </w:rPr>
        <w:t>）</w:t>
      </w:r>
      <w:r>
        <w:rPr>
          <w:rFonts w:hint="eastAsia"/>
          <w:sz w:val="24"/>
        </w:rPr>
        <w:t>对申请HSE认证的组织进行认证；是实施该系列认证的通用规则，作为提供认证服务的规范之一。</w:t>
      </w:r>
    </w:p>
    <w:p>
      <w:pPr>
        <w:pStyle w:val="2"/>
        <w:spacing w:line="360" w:lineRule="auto"/>
      </w:pPr>
      <w:bookmarkStart w:id="1" w:name="_Toc475693126"/>
      <w:r>
        <w:t>2</w:t>
      </w:r>
      <w:r>
        <w:rPr>
          <w:rFonts w:hint="eastAsia"/>
        </w:rPr>
        <w:t>认证基本要求</w:t>
      </w:r>
      <w:bookmarkEnd w:id="1"/>
    </w:p>
    <w:p>
      <w:pPr>
        <w:pStyle w:val="3"/>
      </w:pPr>
      <w:bookmarkStart w:id="2" w:name="_Toc475693127"/>
      <w:r>
        <w:rPr>
          <w:rFonts w:hint="eastAsia"/>
        </w:rPr>
        <w:t>2.1认证模式</w:t>
      </w:r>
      <w:bookmarkEnd w:id="2"/>
    </w:p>
    <w:p>
      <w:pPr>
        <w:pStyle w:val="11"/>
        <w:spacing w:after="0" w:line="360" w:lineRule="auto"/>
        <w:ind w:left="50" w:leftChars="24" w:firstLine="480" w:firstLineChars="200"/>
        <w:rPr>
          <w:rFonts w:ascii="宋体" w:hAnsi="宋体"/>
          <w:sz w:val="24"/>
        </w:rPr>
      </w:pPr>
      <w:r>
        <w:rPr>
          <w:rFonts w:hint="eastAsia" w:ascii="宋体" w:hAnsi="宋体"/>
          <w:sz w:val="24"/>
        </w:rPr>
        <w:t>HSE认证可单独实施，也可结合EMS、OHSMS认证一并实施。单独实施时，应形成完整的审核材料；结合EMS、OHSMS认证一并实施时，审核材料可融入EMS、OHSMS认证材料中，但对HSE特有要求应有相应证据。</w:t>
      </w:r>
    </w:p>
    <w:p>
      <w:pPr>
        <w:pStyle w:val="11"/>
        <w:spacing w:after="0" w:line="360" w:lineRule="auto"/>
        <w:ind w:left="50" w:leftChars="24" w:firstLine="480" w:firstLineChars="200"/>
        <w:rPr>
          <w:rFonts w:ascii="宋体" w:hAnsi="宋体"/>
          <w:sz w:val="24"/>
        </w:rPr>
      </w:pPr>
      <w:r>
        <w:rPr>
          <w:rFonts w:hint="eastAsia" w:ascii="宋体" w:hAnsi="宋体"/>
          <w:sz w:val="24"/>
        </w:rPr>
        <w:t>在对受审核方进行初次认证时，须对受审核方的HSE管理体系进行两个阶段的审核。若已通过EMS/OHSMS认证，可不进行HSE一阶段审核，结合</w:t>
      </w:r>
      <w:r>
        <w:rPr>
          <w:rFonts w:ascii="宋体" w:hAnsi="宋体"/>
          <w:sz w:val="24"/>
        </w:rPr>
        <w:t>EMS/OHSMS</w:t>
      </w:r>
      <w:r>
        <w:rPr>
          <w:rFonts w:hint="eastAsia" w:ascii="宋体" w:hAnsi="宋体"/>
          <w:sz w:val="24"/>
        </w:rPr>
        <w:t>审核（无论初审、再认证或监督审核）对HSE进行二阶段审核。认证证书有效期3年。在通过认证之后，在认证证书的有效期内对获证方的HSE管理体系进行监督，确认能否持续满足认证要求。证书到期前，应实施再认证。</w:t>
      </w:r>
    </w:p>
    <w:p>
      <w:pPr>
        <w:pStyle w:val="3"/>
      </w:pPr>
      <w:bookmarkStart w:id="3" w:name="_Toc475693128"/>
      <w:r>
        <w:rPr>
          <w:rFonts w:hint="eastAsia"/>
        </w:rPr>
        <w:t>2.2认证依据</w:t>
      </w:r>
      <w:bookmarkEnd w:id="3"/>
    </w:p>
    <w:p>
      <w:pPr>
        <w:spacing w:line="360" w:lineRule="auto"/>
        <w:ind w:left="420" w:leftChars="200"/>
        <w:rPr>
          <w:bCs/>
          <w:sz w:val="24"/>
        </w:rPr>
      </w:pPr>
      <w:r>
        <w:rPr>
          <w:bCs/>
          <w:sz w:val="24"/>
        </w:rPr>
        <w:t>Q/SHS 0001.1-2001</w:t>
      </w:r>
      <w:r>
        <w:rPr>
          <w:rFonts w:hint="eastAsia"/>
          <w:bCs/>
          <w:sz w:val="24"/>
        </w:rPr>
        <w:t>中国石油化工集团公司</w:t>
      </w:r>
      <w:r>
        <w:fldChar w:fldCharType="begin"/>
      </w:r>
      <w:r>
        <w:instrText xml:space="preserve"> HYPERLINK "http://bbs.petroren.com/forum-25-1.html" \t "_blank" </w:instrText>
      </w:r>
      <w:r>
        <w:fldChar w:fldCharType="separate"/>
      </w:r>
      <w:r>
        <w:rPr>
          <w:rFonts w:hint="eastAsia"/>
          <w:sz w:val="24"/>
        </w:rPr>
        <w:t>安全</w:t>
      </w:r>
      <w:r>
        <w:rPr>
          <w:rFonts w:hint="eastAsia"/>
          <w:sz w:val="24"/>
        </w:rPr>
        <w:fldChar w:fldCharType="end"/>
      </w:r>
      <w:r>
        <w:rPr>
          <w:rFonts w:hint="eastAsia"/>
          <w:bCs/>
          <w:sz w:val="24"/>
        </w:rPr>
        <w:t>、环境与健康（</w:t>
      </w:r>
      <w:r>
        <w:rPr>
          <w:bCs/>
          <w:sz w:val="24"/>
        </w:rPr>
        <w:t>HSE</w:t>
      </w:r>
      <w:bookmarkStart w:id="4" w:name="OLE_LINK1"/>
      <w:bookmarkStart w:id="5" w:name="OLE_LINK2"/>
      <w:r>
        <w:rPr>
          <w:rFonts w:hint="eastAsia"/>
          <w:bCs/>
          <w:sz w:val="24"/>
        </w:rPr>
        <w:t>）管理体系（中石化HSE适用）</w:t>
      </w:r>
    </w:p>
    <w:p>
      <w:pPr>
        <w:spacing w:line="360" w:lineRule="auto"/>
        <w:ind w:left="420" w:leftChars="200"/>
        <w:rPr>
          <w:bCs/>
          <w:sz w:val="24"/>
        </w:rPr>
      </w:pPr>
      <w:r>
        <w:rPr>
          <w:bCs/>
          <w:sz w:val="24"/>
        </w:rPr>
        <w:t>Q/SY1002.1-20</w:t>
      </w:r>
      <w:r>
        <w:rPr>
          <w:rFonts w:hint="eastAsia"/>
          <w:bCs/>
          <w:sz w:val="24"/>
        </w:rPr>
        <w:t>13</w:t>
      </w:r>
      <w:bookmarkEnd w:id="4"/>
      <w:bookmarkEnd w:id="5"/>
      <w:r>
        <w:rPr>
          <w:rFonts w:hint="eastAsia"/>
          <w:bCs/>
          <w:sz w:val="24"/>
        </w:rPr>
        <w:t>健康、安全与环境管理体系第1部分：规范（中石油HSE适用）上述标准更新时，使用更新版本。</w:t>
      </w:r>
    </w:p>
    <w:p>
      <w:pPr>
        <w:spacing w:line="360" w:lineRule="auto"/>
        <w:ind w:left="420" w:leftChars="200"/>
        <w:rPr>
          <w:bCs/>
          <w:sz w:val="24"/>
        </w:rPr>
      </w:pPr>
      <w:r>
        <w:rPr>
          <w:rFonts w:hint="eastAsia"/>
          <w:bCs/>
          <w:sz w:val="24"/>
        </w:rPr>
        <w:t>GB/T24001-2016《环境管理体系  规范及使用指南》</w:t>
      </w:r>
    </w:p>
    <w:p>
      <w:pPr>
        <w:spacing w:line="360" w:lineRule="auto"/>
        <w:ind w:left="420" w:leftChars="200"/>
        <w:rPr>
          <w:bCs/>
          <w:sz w:val="24"/>
        </w:rPr>
      </w:pPr>
      <w:r>
        <w:rPr>
          <w:rFonts w:hint="eastAsia"/>
          <w:bCs/>
          <w:sz w:val="24"/>
        </w:rPr>
        <w:t>GB/T 28001-2011《职业健康安全管理体系  规范》</w:t>
      </w:r>
    </w:p>
    <w:p>
      <w:pPr>
        <w:spacing w:line="360" w:lineRule="auto"/>
        <w:ind w:left="420" w:leftChars="200"/>
        <w:rPr>
          <w:bCs/>
          <w:sz w:val="24"/>
        </w:rPr>
      </w:pPr>
      <w:r>
        <w:rPr>
          <w:rFonts w:hint="eastAsia"/>
          <w:bCs/>
          <w:sz w:val="24"/>
        </w:rPr>
        <w:t>审核依据还包括受审核方所适用的方针、程序、HSE法律法规政策和标准、受审核方HSE管理体系文件、合同要求或其它要求。</w:t>
      </w:r>
    </w:p>
    <w:p>
      <w:pPr>
        <w:spacing w:line="360" w:lineRule="auto"/>
        <w:ind w:left="50" w:leftChars="24"/>
        <w:rPr>
          <w:sz w:val="24"/>
        </w:rPr>
      </w:pPr>
      <w:r>
        <w:rPr>
          <w:rFonts w:hint="eastAsia"/>
          <w:bCs/>
          <w:sz w:val="24"/>
        </w:rPr>
        <w:t>2.3</w:t>
      </w:r>
      <w:r>
        <w:rPr>
          <w:rFonts w:hint="eastAsia"/>
          <w:sz w:val="24"/>
        </w:rPr>
        <w:t>本文件是针对实施HSE认证活动的特定要求，是对EMS、OHSMS体系文件的补充。本文件中未规定的其他要求，按EMS、OHSMS体系文件中的规定执行。除本文件包中的记录表格外，其他记录表格使用现行有效EMS、OHSMS体系文件中的记录表格。</w:t>
      </w:r>
    </w:p>
    <w:p>
      <w:pPr>
        <w:pStyle w:val="2"/>
        <w:spacing w:line="360" w:lineRule="auto"/>
      </w:pPr>
      <w:bookmarkStart w:id="6" w:name="_Toc85105513"/>
      <w:bookmarkStart w:id="7" w:name="_Toc85103624"/>
      <w:bookmarkStart w:id="8" w:name="_Toc85256249"/>
      <w:bookmarkStart w:id="9" w:name="_Toc85256279"/>
      <w:bookmarkStart w:id="10" w:name="_Toc475693129"/>
      <w:r>
        <w:rPr>
          <w:rFonts w:hint="eastAsia"/>
        </w:rPr>
        <w:t>3 认证过程流程图</w:t>
      </w:r>
      <w:bookmarkEnd w:id="6"/>
      <w:bookmarkEnd w:id="7"/>
      <w:bookmarkEnd w:id="8"/>
      <w:bookmarkEnd w:id="9"/>
      <w:bookmarkEnd w:id="10"/>
    </w:p>
    <w:p>
      <w:pPr>
        <w:spacing w:line="360" w:lineRule="auto"/>
        <w:rPr>
          <w:sz w:val="24"/>
        </w:rPr>
      </w:pPr>
      <w:r>
        <w:rPr>
          <w:rFonts w:ascii="宋体" w:hAnsi="宋体"/>
          <w:sz w:val="24"/>
        </w:rPr>
        <w:pict>
          <v:shape id="Text Box 11" o:spid="_x0000_s1027" o:spt="202" type="#_x0000_t202" style="position:absolute;left:0pt;margin-left:259pt;margin-top:0.55pt;height:49.2pt;width:147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">
            <v:path/>
            <v:fill focussize="0,0"/>
            <v:stroke joinstyle="miter"/>
            <v:imagedata o:title=""/>
            <o:lock v:ext="edit"/>
            <v:textbox inset="0mm,3mm,0mm,1.27mm">
              <w:txbxContent>
                <w:p>
                  <w:pPr>
                    <w:spacing w:line="360" w:lineRule="atLeast"/>
                    <w:jc w:val="center"/>
                    <w:rPr>
                      <w:rFonts w:hint="eastAsia" w:eastAsia="宋体"/>
                      <w:b/>
                      <w:bCs/>
                      <w:sz w:val="24"/>
                      <w:lang w:eastAsia="zh-CN"/>
                    </w:rPr>
                  </w:pPr>
                  <w:r>
                    <w:rPr>
                      <w:rFonts w:hint="eastAsia"/>
                      <w:b/>
                      <w:bCs/>
                      <w:sz w:val="24"/>
                      <w:lang w:eastAsia="zh-CN"/>
                    </w:rPr>
                    <w:t>WLGJ</w:t>
                  </w:r>
                </w:p>
              </w:txbxContent>
            </v:textbox>
          </v:shape>
        </w:pict>
      </w:r>
      <w:r>
        <w:rPr>
          <w:rFonts w:ascii="宋体" w:hAnsi="宋体"/>
          <w:sz w:val="24"/>
        </w:rPr>
        <w:pict>
          <v:shape id="Text Box 10" o:spid="_x0000_s1028" o:spt="202" type="#_x0000_t202" style="position:absolute;left:0pt;margin-left:21.5pt;margin-top:2.55pt;height:49.2pt;width:147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">
            <v:path/>
            <v:fill focussize="0,0"/>
            <v:stroke joinstyle="miter"/>
            <v:imagedata o:title=""/>
            <o:lock v:ext="edit"/>
            <v:textbox inset="0mm,1.27mm,0mm,1.27mm">
              <w:txbxContent>
                <w:p>
                  <w:pPr>
                    <w:spacing w:beforeLines="50" w:line="0" w:lineRule="atLeast"/>
                    <w:jc w:val="center"/>
                    <w:rPr>
                      <w:b/>
                      <w:bCs/>
                      <w:spacing w:val="20"/>
                      <w:sz w:val="24"/>
                    </w:rPr>
                  </w:pPr>
                  <w:r>
                    <w:rPr>
                      <w:rFonts w:hint="eastAsia"/>
                      <w:b/>
                      <w:bCs/>
                      <w:spacing w:val="20"/>
                      <w:sz w:val="24"/>
                    </w:rPr>
                    <w:t>认证申请方</w:t>
                  </w:r>
                </w:p>
              </w:txbxContent>
            </v:textbox>
          </v:shape>
        </w:pict>
      </w:r>
    </w:p>
    <w:p>
      <w:pPr>
        <w:spacing w:line="360" w:lineRule="auto"/>
        <w:jc w:val="center"/>
        <w:rPr>
          <w:rFonts w:ascii="宋体" w:hAnsi="宋体"/>
          <w:b/>
          <w:bCs/>
          <w:sz w:val="24"/>
        </w:rPr>
      </w:pPr>
      <w:r>
        <w:rPr>
          <w:rFonts w:hint="eastAsia" w:ascii="宋体" w:hAnsi="宋体"/>
          <w:b/>
          <w:bCs/>
          <w:sz w:val="24"/>
        </w:rPr>
        <w:t>沟 通</w:t>
      </w:r>
    </w:p>
    <w:p>
      <w:pPr>
        <w:spacing w:line="360" w:lineRule="auto"/>
        <w:rPr>
          <w:rFonts w:ascii="宋体" w:hAnsi="宋体"/>
          <w:sz w:val="24"/>
        </w:rPr>
      </w:pPr>
      <w:r>
        <w:rPr>
          <w:rFonts w:ascii="宋体" w:hAnsi="宋体"/>
          <w:sz w:val="24"/>
        </w:rPr>
        <w:pict>
          <v:line id="Line 27" o:spid="_x0000_s1041" o:spt="20" style="position:absolute;left:0pt;margin-left:215.2pt;margin-top:13.8pt;height:23.4pt;width:0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">
            <v:path arrowok="t"/>
            <v:fill focussize="0,0"/>
            <v:stroke endarrow="classic" endarrowwidth="narrow" endarrowlength="long"/>
            <v:imagedata o:title=""/>
            <o:lock v:ext="edit"/>
          </v:line>
        </w:pict>
      </w:r>
      <w:r>
        <w:rPr>
          <w:rFonts w:ascii="宋体" w:hAnsi="宋体"/>
          <w:sz w:val="24"/>
        </w:rPr>
        <w:pict>
          <v:line id="Line 18" o:spid="_x0000_s1040" o:spt="20" style="position:absolute;left:0pt;margin-left:180pt;margin-top:5.85pt;height:0pt;width:73.5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">
            <v:path arrowok="t"/>
            <v:fill focussize="0,0"/>
            <v:stroke dashstyle="longDash" startarrow="classic" startarrowwidth="narrow" startarrowlength="long" endarrow="classic" endarrowwidth="narrow" endarrowlength="long"/>
            <v:imagedata o:title=""/>
            <o:lock v:ext="edit"/>
          </v:line>
        </w:pict>
      </w:r>
    </w:p>
    <w:p>
      <w:pPr>
        <w:spacing w:line="360" w:lineRule="auto"/>
        <w:rPr>
          <w:rFonts w:ascii="宋体" w:hAnsi="宋体"/>
          <w:sz w:val="24"/>
        </w:rPr>
      </w:pPr>
      <w:r>
        <w:rPr>
          <w:rFonts w:ascii="宋体" w:hAnsi="宋体"/>
          <w:sz w:val="24"/>
        </w:rPr>
        <w:pict>
          <v:shape id="Text Box 15" o:spid="_x0000_s1029" o:spt="202" type="#_x0000_t202" style="position:absolute;left:0pt;margin-left:135pt;margin-top:17.85pt;height:23.55pt;width:16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">
            <v:path/>
            <v:fill focussize="0,0"/>
            <v:stroke joinstyle="miter"/>
            <v:imagedata o:title=""/>
            <o:lock v:ext="edit"/>
            <v:textbox inset="0mm,1.27mm,0mm,1.27mm">
              <w:txbxContent>
                <w:p>
                  <w:pPr>
                    <w:jc w:val="center"/>
                    <w:rPr>
                      <w:spacing w:val="20"/>
                      <w:sz w:val="24"/>
                    </w:rPr>
                  </w:pPr>
                  <w:r>
                    <w:rPr>
                      <w:rFonts w:hint="eastAsia"/>
                      <w:b/>
                      <w:bCs/>
                      <w:spacing w:val="20"/>
                      <w:sz w:val="24"/>
                    </w:rPr>
                    <w:t>受理申请</w:t>
                  </w:r>
                </w:p>
              </w:txbxContent>
            </v:textbox>
          </v:shape>
        </w:pict>
      </w:r>
    </w:p>
    <w:p>
      <w:pPr>
        <w:spacing w:line="360" w:lineRule="auto"/>
        <w:rPr>
          <w:rFonts w:ascii="宋体" w:hAnsi="宋体"/>
          <w:sz w:val="24"/>
        </w:rPr>
      </w:pPr>
      <w:r>
        <w:rPr>
          <w:rFonts w:ascii="宋体" w:hAnsi="宋体"/>
          <w:sz w:val="24"/>
        </w:rPr>
        <w:pict>
          <v:line id="Line 17" o:spid="_x0000_s1039" o:spt="20" style="position:absolute;left:0pt;margin-left:216pt;margin-top:20.25pt;height:23.4pt;width:0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">
            <v:path arrowok="t"/>
            <v:fill focussize="0,0"/>
            <v:stroke endarrow="classic" endarrowwidth="narrow" endarrowlength="long"/>
            <v:imagedata o:title=""/>
            <o:lock v:ext="edit"/>
          </v:line>
        </w:pict>
      </w:r>
    </w:p>
    <w:p>
      <w:pPr>
        <w:spacing w:line="360" w:lineRule="auto"/>
        <w:rPr>
          <w:rFonts w:ascii="宋体" w:hAnsi="宋体"/>
          <w:sz w:val="24"/>
        </w:rPr>
      </w:pPr>
      <w:r>
        <w:rPr>
          <w:rFonts w:ascii="宋体" w:hAnsi="宋体"/>
          <w:sz w:val="24"/>
        </w:rPr>
        <w:pict>
          <v:shape id="Text Box 19" o:spid="_x0000_s1030" o:spt="202" type="#_x0000_t202" style="position:absolute;left:0pt;margin-left:135pt;margin-top:18.9pt;height:31.2pt;width:171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">
            <v:path/>
            <v:fill focussize="0,0"/>
            <v:stroke joinstyle="miter"/>
            <v:imagedata o:title=""/>
            <o:lock v:ext="edit"/>
            <v:textbox>
              <w:txbxContent>
                <w:p>
                  <w:pPr>
                    <w:pStyle w:val="25"/>
                    <w:rPr>
                      <w:b/>
                    </w:rPr>
                  </w:pPr>
                  <w:r>
                    <w:rPr>
                      <w:rFonts w:hint="eastAsia"/>
                      <w:b/>
                    </w:rPr>
                    <w:t>文审及现场审核（第一、二阶段）</w:t>
                  </w:r>
                </w:p>
              </w:txbxContent>
            </v:textbox>
          </v:shape>
        </w:pict>
      </w:r>
    </w:p>
    <w:p>
      <w:pPr>
        <w:spacing w:line="360" w:lineRule="auto"/>
        <w:rPr>
          <w:rFonts w:ascii="宋体" w:hAnsi="宋体"/>
          <w:sz w:val="24"/>
        </w:rPr>
      </w:pPr>
      <w:r>
        <w:rPr>
          <w:rFonts w:ascii="宋体" w:hAnsi="宋体"/>
          <w:sz w:val="24"/>
        </w:rPr>
        <w:pict>
          <v:line id="Line 16" o:spid="_x0000_s1038" o:spt="20" style="position:absolute;left:0pt;margin-left:215.2pt;margin-top:16.8pt;height:27.45pt;width:0.8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">
            <v:path arrowok="t"/>
            <v:fill focussize="0,0"/>
            <v:stroke endarrow="classic" endarrowwidth="narrow" endarrowlength="long"/>
            <v:imagedata o:title=""/>
            <o:lock v:ext="edit"/>
          </v:line>
        </w:pict>
      </w:r>
    </w:p>
    <w:p>
      <w:pPr>
        <w:spacing w:line="360" w:lineRule="auto"/>
        <w:rPr>
          <w:rFonts w:ascii="宋体" w:hAnsi="宋体"/>
          <w:sz w:val="24"/>
        </w:rPr>
      </w:pPr>
    </w:p>
    <w:p>
      <w:pPr>
        <w:spacing w:line="360" w:lineRule="auto"/>
        <w:rPr>
          <w:rFonts w:ascii="宋体" w:hAnsi="宋体"/>
          <w:sz w:val="24"/>
        </w:rPr>
      </w:pPr>
      <w:r>
        <w:rPr>
          <w:rFonts w:ascii="宋体" w:hAnsi="宋体"/>
          <w:sz w:val="24"/>
        </w:rPr>
        <w:pict>
          <v:shape id="Text Box 13" o:spid="_x0000_s1031" o:spt="202" type="#_x0000_t202" style="position:absolute;left:0pt;margin-left:135pt;margin-top:2.25pt;height:24.1pt;width:173.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">
            <v:path/>
            <v:fill focussize="0,0"/>
            <v:stroke joinstyle="miter"/>
            <v:imagedata o:title=""/>
            <o:lock v:ext="edit"/>
            <v:textbox inset="1.5mm,1.27mm,1.5mm,1.27mm">
              <w:txbxContent>
                <w:p>
                  <w:pPr>
                    <w:jc w:val="center"/>
                    <w:rPr>
                      <w:spacing w:val="20"/>
                    </w:rPr>
                  </w:pPr>
                  <w:r>
                    <w:rPr>
                      <w:rFonts w:hint="eastAsia"/>
                      <w:b/>
                      <w:bCs/>
                      <w:spacing w:val="20"/>
                      <w:sz w:val="24"/>
                    </w:rPr>
                    <w:t>审查/审定和批准</w:t>
                  </w:r>
                </w:p>
              </w:txbxContent>
            </v:textbox>
          </v:shape>
        </w:pict>
      </w:r>
    </w:p>
    <w:p>
      <w:pPr>
        <w:spacing w:line="360" w:lineRule="auto"/>
        <w:rPr>
          <w:rFonts w:ascii="宋体" w:hAnsi="宋体"/>
          <w:sz w:val="24"/>
        </w:rPr>
      </w:pPr>
      <w:r>
        <w:rPr>
          <w:rFonts w:ascii="宋体" w:hAnsi="宋体"/>
          <w:sz w:val="24"/>
        </w:rPr>
        <w:pict>
          <v:line id="Line 21" o:spid="_x0000_s1037" o:spt="20" style="position:absolute;left:0pt;margin-left:216pt;margin-top:4.65pt;height:23.4pt;width:0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">
            <v:path arrowok="t"/>
            <v:fill focussize="0,0"/>
            <v:stroke endarrow="classic" endarrowwidth="narrow" endarrowlength="long"/>
            <v:imagedata o:title=""/>
            <o:lock v:ext="edit"/>
          </v:line>
        </w:pict>
      </w:r>
    </w:p>
    <w:p>
      <w:pPr>
        <w:spacing w:line="360" w:lineRule="auto"/>
        <w:rPr>
          <w:rFonts w:ascii="宋体" w:hAnsi="宋体"/>
          <w:sz w:val="24"/>
        </w:rPr>
      </w:pPr>
      <w:r>
        <w:rPr>
          <w:rFonts w:ascii="宋体" w:hAnsi="宋体"/>
          <w:sz w:val="24"/>
        </w:rPr>
        <w:pict>
          <v:shape id="Text Box 20" o:spid="_x0000_s1032" o:spt="202" type="#_x0000_t202" style="position:absolute;left:0pt;margin-left:135pt;margin-top:7.05pt;height:29.75pt;width:173.2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">
            <v:path/>
            <v:fill focussize="0,0"/>
            <v:stroke joinstyle="miter"/>
            <v:imagedata o:title=""/>
            <o:lock v:ext="edit"/>
            <v:textbox>
              <w:txbxContent>
                <w:p>
                  <w:pPr>
                    <w:spacing w:beforeLines="50" w:line="240" w:lineRule="exact"/>
                    <w:jc w:val="center"/>
                    <w:rPr>
                      <w:b/>
                      <w:bCs/>
                      <w:spacing w:val="20"/>
                      <w:sz w:val="24"/>
                    </w:rPr>
                  </w:pPr>
                  <w:r>
                    <w:rPr>
                      <w:rFonts w:hint="eastAsia"/>
                      <w:b/>
                      <w:bCs/>
                      <w:spacing w:val="20"/>
                      <w:sz w:val="24"/>
                    </w:rPr>
                    <w:t>颁发证书</w:t>
                  </w:r>
                </w:p>
                <w:p>
                  <w:pPr>
                    <w:spacing w:beforeLines="50" w:line="240" w:lineRule="exact"/>
                    <w:jc w:val="center"/>
                    <w:rPr>
                      <w:color w:val="FF0000"/>
                      <w:spacing w:val="20"/>
                      <w:sz w:val="24"/>
                    </w:rPr>
                  </w:pPr>
                </w:p>
              </w:txbxContent>
            </v:textbox>
          </v:shape>
        </w:pict>
      </w:r>
    </w:p>
    <w:p>
      <w:pPr>
        <w:spacing w:line="360" w:lineRule="auto"/>
        <w:rPr>
          <w:rFonts w:ascii="宋体" w:hAnsi="宋体"/>
          <w:sz w:val="24"/>
        </w:rPr>
      </w:pPr>
      <w:r>
        <w:rPr>
          <w:rFonts w:ascii="宋体" w:hAnsi="宋体"/>
          <w:sz w:val="24"/>
        </w:rPr>
        <w:pict>
          <v:line id="Line 22" o:spid="_x0000_s1036" o:spt="20" style="position:absolute;left:0pt;margin-left:216pt;margin-top:17.25pt;height:23.4pt;width:0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">
            <v:path arrowok="t"/>
            <v:fill focussize="0,0"/>
            <v:stroke endarrow="classic" endarrowwidth="narrow" endarrowlength="long"/>
            <v:imagedata o:title=""/>
            <o:lock v:ext="edit"/>
          </v:line>
        </w:pict>
      </w:r>
    </w:p>
    <w:p>
      <w:pPr>
        <w:spacing w:line="360" w:lineRule="auto"/>
        <w:rPr>
          <w:rFonts w:ascii="宋体" w:hAnsi="宋体"/>
          <w:sz w:val="24"/>
        </w:rPr>
      </w:pPr>
      <w:r>
        <w:rPr>
          <w:rFonts w:ascii="宋体" w:hAnsi="宋体"/>
          <w:sz w:val="24"/>
        </w:rPr>
        <w:pict>
          <v:shape id="Text Box 14" o:spid="_x0000_s1033" o:spt="202" type="#_x0000_t202" style="position:absolute;left:0pt;margin-left:135pt;margin-top:19.65pt;height:27.8pt;width:173.2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ajLQIAAFg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">
            <v:path/>
            <v:fill focussize="0,0"/>
            <v:stroke joinstyle="miter"/>
            <v:imagedata o:title=""/>
            <o:lock v:ext="edit"/>
            <v:textbox>
              <w:txbxContent>
                <w:p>
                  <w:pPr>
                    <w:ind w:firstLine="964" w:firstLineChars="400"/>
                    <w:rPr>
                      <w:rFonts w:eastAsia="仿宋_GB2312"/>
                    </w:rPr>
                  </w:pPr>
                  <w:r>
                    <w:rPr>
                      <w:rFonts w:hint="eastAsia"/>
                      <w:b/>
                      <w:bCs/>
                      <w:sz w:val="24"/>
                    </w:rPr>
                    <w:t>获证后监督</w:t>
                  </w:r>
                </w:p>
              </w:txbxContent>
            </v:textbox>
          </v:shape>
        </w:pict>
      </w:r>
    </w:p>
    <w:p>
      <w:pPr>
        <w:spacing w:line="360" w:lineRule="auto"/>
        <w:rPr>
          <w:rFonts w:ascii="宋体" w:hAnsi="宋体"/>
          <w:sz w:val="24"/>
        </w:rPr>
      </w:pPr>
    </w:p>
    <w:p>
      <w:pPr>
        <w:spacing w:line="360" w:lineRule="auto"/>
        <w:rPr>
          <w:rFonts w:ascii="宋体" w:hAnsi="宋体"/>
          <w:sz w:val="24"/>
        </w:rPr>
      </w:pPr>
      <w:r>
        <w:rPr>
          <w:rFonts w:ascii="宋体" w:hAnsi="宋体"/>
          <w:sz w:val="24"/>
        </w:rPr>
        <w:pict>
          <v:line id="Line 23" o:spid="_x0000_s1035" o:spt="20" style="position:absolute;left:0pt;margin-left:216pt;margin-top:8.85pt;height:23.4pt;width:0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">
            <v:path arrowok="t"/>
            <v:fill focussize="0,0"/>
            <v:stroke endarrow="classic" endarrowwidth="narrow" endarrowlength="long"/>
            <v:imagedata o:title=""/>
            <o:lock v:ext="edit"/>
          </v:line>
        </w:pict>
      </w:r>
    </w:p>
    <w:p>
      <w:pPr>
        <w:spacing w:line="360" w:lineRule="auto"/>
        <w:rPr>
          <w:rFonts w:ascii="宋体" w:hAnsi="宋体"/>
          <w:sz w:val="24"/>
        </w:rPr>
      </w:pPr>
      <w:r>
        <w:rPr>
          <w:rFonts w:ascii="宋体" w:hAnsi="宋体"/>
          <w:sz w:val="24"/>
        </w:rPr>
        <w:pict>
          <v:shape id="Text Box 24" o:spid="_x0000_s1034" o:spt="202" type="#_x0000_t202" style="position:absolute;left:0pt;margin-left:135pt;margin-top:11.25pt;height:27.8pt;width:173.2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">
            <v:path/>
            <v:fill focussize="0,0"/>
            <v:stroke joinstyle="miter"/>
            <v:imagedata o:title=""/>
            <o:lock v:ext="edit"/>
            <v:textbox>
              <w:txbxContent>
                <w:p>
                  <w:pPr>
                    <w:ind w:firstLine="1082" w:firstLineChars="449"/>
                    <w:rPr>
                      <w:rFonts w:eastAsia="仿宋_GB2312"/>
                    </w:rPr>
                  </w:pPr>
                  <w:r>
                    <w:rPr>
                      <w:rFonts w:hint="eastAsia"/>
                      <w:b/>
                      <w:bCs/>
                      <w:sz w:val="24"/>
                    </w:rPr>
                    <w:t>再认证</w:t>
                  </w:r>
                </w:p>
              </w:txbxContent>
            </v:textbox>
          </v:shape>
        </w:pict>
      </w:r>
    </w:p>
    <w:p>
      <w:pPr>
        <w:spacing w:line="360" w:lineRule="auto"/>
        <w:rPr>
          <w:rFonts w:ascii="宋体" w:hAnsi="宋体"/>
          <w:sz w:val="24"/>
        </w:rPr>
      </w:pPr>
    </w:p>
    <w:p>
      <w:pPr>
        <w:spacing w:line="360" w:lineRule="auto"/>
        <w:rPr>
          <w:rFonts w:ascii="宋体" w:hAnsi="宋体"/>
          <w:sz w:val="24"/>
        </w:rPr>
      </w:pPr>
    </w:p>
    <w:p>
      <w:pPr>
        <w:pStyle w:val="2"/>
        <w:spacing w:line="360" w:lineRule="auto"/>
      </w:pPr>
      <w:bookmarkStart w:id="11" w:name="_Toc475693130"/>
      <w:r>
        <w:rPr>
          <w:rFonts w:hint="eastAsia"/>
        </w:rPr>
        <w:t>4认证人员能力要求</w:t>
      </w:r>
      <w:bookmarkEnd w:id="11"/>
    </w:p>
    <w:p>
      <w:pPr>
        <w:pStyle w:val="3"/>
      </w:pPr>
      <w:bookmarkStart w:id="12" w:name="_Toc475693131"/>
      <w:r>
        <w:rPr>
          <w:rFonts w:hint="eastAsia"/>
        </w:rPr>
        <w:t>4.1HSE认证人员基本要求</w:t>
      </w:r>
      <w:bookmarkEnd w:id="12"/>
    </w:p>
    <w:p>
      <w:pPr>
        <w:pStyle w:val="13"/>
        <w:spacing w:line="360" w:lineRule="auto"/>
        <w:ind w:left="0" w:leftChars="0" w:firstLine="480" w:firstLineChars="200"/>
        <w:rPr>
          <w:sz w:val="24"/>
        </w:rPr>
      </w:pPr>
      <w:r>
        <w:rPr>
          <w:rFonts w:hint="eastAsia" w:ascii="宋体" w:hAnsi="宋体"/>
          <w:sz w:val="24"/>
        </w:rPr>
        <w:t>HSE认证人员基本要求需满足</w:t>
      </w:r>
      <w:r>
        <w:rPr>
          <w:rFonts w:hint="eastAsia" w:ascii="宋体" w:hAnsi="宋体"/>
          <w:sz w:val="24"/>
          <w:lang w:eastAsia="zh-CN"/>
        </w:rPr>
        <w:t>WLGJ</w:t>
      </w:r>
      <w:r>
        <w:rPr>
          <w:rFonts w:hint="eastAsia" w:ascii="宋体" w:hAnsi="宋体"/>
          <w:sz w:val="24"/>
        </w:rPr>
        <w:t>《认证人员专业能力资格评价准则》中认证项目管理人员、审核组长、专业审核员、审定人员、技术专家的专业能力评价要求，详见</w:t>
      </w:r>
      <w:r>
        <w:rPr>
          <w:rFonts w:hint="eastAsia" w:ascii="宋体" w:hAnsi="宋体"/>
          <w:sz w:val="24"/>
          <w:lang w:eastAsia="zh-CN"/>
        </w:rPr>
        <w:t>WLGJ</w:t>
      </w:r>
      <w:r>
        <w:rPr>
          <w:rFonts w:hint="eastAsia" w:ascii="宋体" w:hAnsi="宋体"/>
          <w:sz w:val="24"/>
        </w:rPr>
        <w:t>《认证人员专业能力资格评价准则》；HSE审核员需同时具备国家注册EMS,OHSMS注册审核员资格。</w:t>
      </w:r>
    </w:p>
    <w:p>
      <w:pPr>
        <w:pStyle w:val="3"/>
      </w:pPr>
      <w:bookmarkStart w:id="13" w:name="_Toc475693132"/>
      <w:r>
        <w:rPr>
          <w:rFonts w:hint="eastAsia"/>
        </w:rPr>
        <w:t>4.2认证项目管理人员能力要求</w:t>
      </w:r>
      <w:bookmarkEnd w:id="13"/>
    </w:p>
    <w:p>
      <w:pPr>
        <w:spacing w:line="360" w:lineRule="auto"/>
        <w:ind w:firstLine="480" w:firstLineChars="200"/>
        <w:rPr>
          <w:rFonts w:ascii="宋体" w:hAnsi="宋体"/>
          <w:sz w:val="24"/>
        </w:rPr>
      </w:pPr>
      <w:r>
        <w:rPr>
          <w:rFonts w:hint="eastAsia" w:ascii="宋体" w:hAnsi="宋体"/>
          <w:sz w:val="24"/>
        </w:rPr>
        <w:t>HSE项目管理人员需满足</w:t>
      </w:r>
      <w:r>
        <w:rPr>
          <w:rFonts w:hint="eastAsia" w:ascii="宋体" w:hAnsi="宋体"/>
          <w:sz w:val="24"/>
          <w:lang w:eastAsia="zh-CN"/>
        </w:rPr>
        <w:t>WLGJ</w:t>
      </w:r>
      <w:r>
        <w:rPr>
          <w:rFonts w:hint="eastAsia" w:ascii="宋体" w:hAnsi="宋体"/>
          <w:sz w:val="24"/>
        </w:rPr>
        <w:t>《认证人员专业能力资格评价准则》中认证项目管理人员要求。</w:t>
      </w:r>
    </w:p>
    <w:p>
      <w:pPr>
        <w:pStyle w:val="3"/>
      </w:pPr>
      <w:bookmarkStart w:id="14" w:name="_Toc475693133"/>
      <w:r>
        <w:rPr>
          <w:rFonts w:hint="eastAsia"/>
        </w:rPr>
        <w:t>4.3HSE审核组长要求</w:t>
      </w:r>
      <w:bookmarkEnd w:id="14"/>
    </w:p>
    <w:p>
      <w:pPr>
        <w:spacing w:line="360" w:lineRule="auto"/>
        <w:ind w:firstLine="480" w:firstLineChars="200"/>
        <w:rPr>
          <w:sz w:val="24"/>
        </w:rPr>
      </w:pPr>
      <w:r>
        <w:rPr>
          <w:rFonts w:hint="eastAsia"/>
          <w:sz w:val="24"/>
        </w:rPr>
        <w:t>HSE审核组长应满足</w:t>
      </w:r>
      <w:r>
        <w:rPr>
          <w:rFonts w:hint="eastAsia" w:ascii="宋体" w:hAnsi="宋体"/>
          <w:sz w:val="24"/>
          <w:lang w:eastAsia="zh-CN"/>
        </w:rPr>
        <w:t>WLGJ</w:t>
      </w:r>
      <w:r>
        <w:rPr>
          <w:rFonts w:hint="eastAsia" w:ascii="宋体" w:hAnsi="宋体"/>
          <w:sz w:val="24"/>
        </w:rPr>
        <w:t>《认证人员专业能力资格评价准则》审核组长要求</w:t>
      </w:r>
      <w:r>
        <w:rPr>
          <w:rFonts w:hint="eastAsia"/>
          <w:sz w:val="24"/>
        </w:rPr>
        <w:t>。</w:t>
      </w:r>
    </w:p>
    <w:p>
      <w:pPr>
        <w:pStyle w:val="3"/>
      </w:pPr>
      <w:bookmarkStart w:id="15" w:name="_Toc475693134"/>
      <w:r>
        <w:rPr>
          <w:rFonts w:hint="eastAsia"/>
        </w:rPr>
        <w:t>4.4HSE专业审核员/审定人员/技术专家要求</w:t>
      </w:r>
      <w:bookmarkEnd w:id="15"/>
    </w:p>
    <w:p>
      <w:pPr>
        <w:pStyle w:val="13"/>
        <w:spacing w:line="360" w:lineRule="auto"/>
        <w:ind w:left="1" w:leftChars="0" w:firstLine="424" w:firstLineChars="177"/>
        <w:rPr>
          <w:sz w:val="24"/>
        </w:rPr>
      </w:pPr>
      <w:r>
        <w:rPr>
          <w:rFonts w:hint="eastAsia"/>
          <w:sz w:val="24"/>
        </w:rPr>
        <w:t>HSE专业审核员/审定人员/技术专家应满足</w:t>
      </w:r>
      <w:r>
        <w:rPr>
          <w:rFonts w:hint="eastAsia" w:ascii="宋体" w:hAnsi="宋体"/>
          <w:sz w:val="24"/>
          <w:lang w:eastAsia="zh-CN"/>
        </w:rPr>
        <w:t>WLGJ</w:t>
      </w:r>
      <w:r>
        <w:rPr>
          <w:rFonts w:hint="eastAsia" w:ascii="宋体" w:hAnsi="宋体"/>
          <w:sz w:val="24"/>
        </w:rPr>
        <w:t>《认证人员专业能力资格评价准则》相应要求</w:t>
      </w:r>
      <w:r>
        <w:rPr>
          <w:rFonts w:hint="eastAsia"/>
          <w:sz w:val="24"/>
        </w:rPr>
        <w:t>。</w:t>
      </w:r>
    </w:p>
    <w:p>
      <w:pPr>
        <w:pStyle w:val="3"/>
      </w:pPr>
      <w:bookmarkStart w:id="16" w:name="_Toc475693135"/>
      <w:r>
        <w:rPr>
          <w:rFonts w:hint="eastAsia"/>
        </w:rPr>
        <w:t>4.</w:t>
      </w:r>
      <w:r>
        <w:t>5</w:t>
      </w:r>
      <w:r>
        <w:rPr>
          <w:rFonts w:hint="eastAsia"/>
        </w:rPr>
        <w:t>HSE人员评价</w:t>
      </w:r>
      <w:bookmarkEnd w:id="16"/>
      <w:r>
        <w:t xml:space="preserve"> </w:t>
      </w:r>
      <w:r>
        <w:rPr>
          <w:rFonts w:hint="eastAsia"/>
        </w:rPr>
        <w:t>及技术领域。</w:t>
      </w:r>
    </w:p>
    <w:p>
      <w:pPr>
        <w:pStyle w:val="13"/>
        <w:spacing w:line="360" w:lineRule="auto"/>
        <w:ind w:left="0" w:leftChars="0" w:firstLine="426" w:firstLineChars="0"/>
        <w:rPr>
          <w:sz w:val="24"/>
        </w:rPr>
      </w:pPr>
      <w:r>
        <w:rPr>
          <w:rFonts w:hint="eastAsia"/>
          <w:sz w:val="24"/>
          <w:lang w:eastAsia="zh-CN"/>
        </w:rPr>
        <w:t>WLGJ</w:t>
      </w:r>
      <w:r>
        <w:rPr>
          <w:rFonts w:hint="eastAsia"/>
          <w:sz w:val="24"/>
        </w:rPr>
        <w:t>综合部按照</w:t>
      </w:r>
      <w:r>
        <w:rPr>
          <w:rFonts w:hint="eastAsia" w:ascii="宋体" w:hAnsi="宋体"/>
          <w:sz w:val="24"/>
        </w:rPr>
        <w:t>《认证人员专业能力资格评价准则》</w:t>
      </w:r>
      <w:r>
        <w:rPr>
          <w:rFonts w:hint="eastAsia"/>
          <w:sz w:val="24"/>
        </w:rPr>
        <w:t>要求对HSE认证人员进行评价，并形成评价记录。审核员专业技术领域同EMS、OHSMS。</w:t>
      </w:r>
    </w:p>
    <w:p>
      <w:pPr>
        <w:pStyle w:val="2"/>
        <w:spacing w:line="360" w:lineRule="auto"/>
      </w:pPr>
      <w:bookmarkStart w:id="17" w:name="_Toc33598532"/>
      <w:bookmarkStart w:id="18" w:name="_Toc33598903"/>
      <w:bookmarkStart w:id="19" w:name="_Toc33598963"/>
      <w:bookmarkStart w:id="20" w:name="_Toc33599578"/>
      <w:bookmarkStart w:id="21" w:name="_Toc33599705"/>
      <w:bookmarkStart w:id="22" w:name="_Toc33600363"/>
      <w:bookmarkStart w:id="23" w:name="_Toc33600412"/>
      <w:bookmarkStart w:id="24" w:name="_Toc85103625"/>
      <w:bookmarkStart w:id="25" w:name="_Toc85105514"/>
      <w:bookmarkStart w:id="26" w:name="_Toc85256250"/>
      <w:bookmarkStart w:id="27" w:name="_Toc85256280"/>
      <w:bookmarkStart w:id="28" w:name="_Toc475693136"/>
      <w:r>
        <w:rPr>
          <w:rFonts w:hint="eastAsia"/>
        </w:rPr>
        <w:t>5认证申请的基本条件</w:t>
      </w:r>
      <w:bookmarkEnd w:id="17"/>
      <w:bookmarkEnd w:id="18"/>
      <w:bookmarkEnd w:id="19"/>
      <w:bookmarkEnd w:id="20"/>
      <w:bookmarkEnd w:id="21"/>
      <w:bookmarkEnd w:id="22"/>
      <w:bookmarkEnd w:id="23"/>
      <w:bookmarkEnd w:id="24"/>
      <w:bookmarkEnd w:id="25"/>
      <w:bookmarkEnd w:id="26"/>
      <w:bookmarkEnd w:id="27"/>
      <w:bookmarkEnd w:id="28"/>
    </w:p>
    <w:p>
      <w:pPr>
        <w:numPr>
          <w:ilvl w:val="1"/>
          <w:numId w:val="2"/>
        </w:numPr>
        <w:tabs>
          <w:tab w:val="clear" w:pos="1140"/>
        </w:tabs>
        <w:spacing w:line="400" w:lineRule="exact"/>
        <w:ind w:left="0" w:firstLine="0"/>
        <w:rPr>
          <w:rFonts w:ascii="宋体" w:hAnsi="宋体"/>
          <w:sz w:val="24"/>
        </w:rPr>
      </w:pPr>
      <w:r>
        <w:rPr>
          <w:rFonts w:hint="eastAsia" w:ascii="宋体" w:hAnsi="宋体"/>
          <w:sz w:val="24"/>
        </w:rPr>
        <w:t xml:space="preserve">拟接受认证的组织具有明确的法律地位； </w:t>
      </w:r>
    </w:p>
    <w:p>
      <w:pPr>
        <w:numPr>
          <w:ilvl w:val="1"/>
          <w:numId w:val="2"/>
        </w:numPr>
        <w:tabs>
          <w:tab w:val="left" w:pos="66"/>
          <w:tab w:val="clear" w:pos="1140"/>
        </w:tabs>
        <w:spacing w:line="400" w:lineRule="exact"/>
        <w:ind w:left="0" w:firstLine="0"/>
        <w:rPr>
          <w:rFonts w:ascii="宋体" w:hAnsi="宋体"/>
          <w:sz w:val="24"/>
        </w:rPr>
      </w:pPr>
      <w:r>
        <w:rPr>
          <w:rFonts w:hint="eastAsia" w:ascii="宋体" w:hAnsi="宋体"/>
          <w:sz w:val="24"/>
        </w:rPr>
        <w:t>国家地方或行业有要求时，受审核方具有规定的资质,其申请认证范围应在法律地位文件和资质规定的范围内；</w:t>
      </w:r>
    </w:p>
    <w:p>
      <w:pPr>
        <w:numPr>
          <w:ilvl w:val="1"/>
          <w:numId w:val="2"/>
        </w:numPr>
        <w:tabs>
          <w:tab w:val="left" w:pos="66"/>
          <w:tab w:val="clear" w:pos="1140"/>
        </w:tabs>
        <w:spacing w:line="400" w:lineRule="exact"/>
        <w:ind w:left="0" w:firstLine="0"/>
        <w:rPr>
          <w:rFonts w:ascii="宋体" w:hAnsi="宋体"/>
          <w:sz w:val="24"/>
        </w:rPr>
      </w:pPr>
      <w:r>
        <w:rPr>
          <w:rFonts w:hint="eastAsia" w:ascii="宋体" w:hAnsi="宋体"/>
          <w:sz w:val="24"/>
        </w:rPr>
        <w:t>受审核方按现行有效的管理体系标准建立了文件化的管理体系，现场审核前已正式运行了3个月，至少已实施一次完整内审和管理评审；（适用于初次认证）</w:t>
      </w:r>
    </w:p>
    <w:p>
      <w:pPr>
        <w:numPr>
          <w:ilvl w:val="1"/>
          <w:numId w:val="2"/>
        </w:numPr>
        <w:tabs>
          <w:tab w:val="left" w:pos="66"/>
          <w:tab w:val="clear" w:pos="1140"/>
        </w:tabs>
        <w:spacing w:line="400" w:lineRule="exact"/>
        <w:ind w:left="0" w:firstLine="0"/>
        <w:rPr>
          <w:rFonts w:ascii="宋体" w:hAnsi="宋体"/>
          <w:sz w:val="24"/>
        </w:rPr>
      </w:pPr>
      <w:r>
        <w:rPr>
          <w:rFonts w:hint="eastAsia" w:ascii="宋体" w:hAnsi="宋体"/>
          <w:sz w:val="24"/>
        </w:rPr>
        <w:t>一年内，未发生质量、环境、职业健康安全事故或违反相关法规的情况；</w:t>
      </w:r>
    </w:p>
    <w:p>
      <w:pPr>
        <w:numPr>
          <w:ilvl w:val="1"/>
          <w:numId w:val="2"/>
        </w:numPr>
        <w:tabs>
          <w:tab w:val="clear" w:pos="1140"/>
        </w:tabs>
        <w:spacing w:line="400" w:lineRule="exact"/>
        <w:ind w:left="0" w:firstLine="0"/>
        <w:rPr>
          <w:rFonts w:ascii="宋体" w:hAnsi="宋体"/>
          <w:sz w:val="24"/>
        </w:rPr>
      </w:pPr>
      <w:r>
        <w:rPr>
          <w:rFonts w:hint="eastAsia" w:ascii="宋体" w:hAnsi="宋体"/>
          <w:sz w:val="24"/>
        </w:rPr>
        <w:t>申请环境管理体系认证的申请方和区域性申请方，对可能产生重大环境影响的污染物，应提交环境监测报告或污染物监测报告；（适用时）</w:t>
      </w:r>
    </w:p>
    <w:p>
      <w:pPr>
        <w:numPr>
          <w:ilvl w:val="1"/>
          <w:numId w:val="2"/>
        </w:numPr>
        <w:tabs>
          <w:tab w:val="left" w:pos="0"/>
          <w:tab w:val="clear" w:pos="1140"/>
        </w:tabs>
        <w:spacing w:line="400" w:lineRule="exact"/>
        <w:ind w:left="0" w:firstLine="0"/>
        <w:rPr>
          <w:rFonts w:ascii="宋体" w:hAnsi="宋体"/>
          <w:sz w:val="24"/>
        </w:rPr>
      </w:pPr>
      <w:r>
        <w:rPr>
          <w:rFonts w:hint="eastAsia" w:ascii="宋体" w:hAnsi="宋体"/>
          <w:sz w:val="24"/>
        </w:rPr>
        <w:t>拟接受认证的组织承诺遵守国家的法律、法规其他要求,承诺始终遵守认证的有关规定，承诺按合同约定和法律规定承担与认证有关的相关法律责任；</w:t>
      </w:r>
    </w:p>
    <w:p>
      <w:pPr>
        <w:numPr>
          <w:ilvl w:val="1"/>
          <w:numId w:val="2"/>
        </w:numPr>
        <w:tabs>
          <w:tab w:val="left" w:pos="0"/>
          <w:tab w:val="clear" w:pos="1140"/>
        </w:tabs>
        <w:spacing w:line="400" w:lineRule="exact"/>
        <w:ind w:left="0" w:firstLine="0"/>
        <w:rPr>
          <w:rFonts w:ascii="宋体" w:hAnsi="宋体"/>
          <w:sz w:val="24"/>
        </w:rPr>
      </w:pPr>
      <w:r>
        <w:rPr>
          <w:rFonts w:hint="eastAsia" w:ascii="宋体" w:hAnsi="宋体"/>
          <w:sz w:val="24"/>
        </w:rPr>
        <w:t>拟接受认证的组织承诺获得</w:t>
      </w:r>
      <w:r>
        <w:rPr>
          <w:rFonts w:hint="eastAsia" w:ascii="宋体" w:hAnsi="宋体"/>
          <w:sz w:val="24"/>
          <w:lang w:eastAsia="zh-CN"/>
        </w:rPr>
        <w:t>WLGJ</w:t>
      </w:r>
      <w:r>
        <w:rPr>
          <w:rFonts w:hint="eastAsia" w:ascii="宋体" w:hAnsi="宋体"/>
          <w:sz w:val="24"/>
        </w:rPr>
        <w:t>认证后，按规定使用认证证书和认证标志，按合同支付认证费用，按规定接受监督。</w:t>
      </w:r>
    </w:p>
    <w:p>
      <w:pPr>
        <w:pStyle w:val="2"/>
        <w:spacing w:line="360" w:lineRule="auto"/>
      </w:pPr>
      <w:bookmarkStart w:id="29" w:name="_Toc475693137"/>
      <w:r>
        <w:rPr>
          <w:rFonts w:hint="eastAsia"/>
        </w:rPr>
        <w:t>6认证受理</w:t>
      </w:r>
      <w:bookmarkEnd w:id="29"/>
    </w:p>
    <w:p>
      <w:pPr>
        <w:pStyle w:val="3"/>
        <w:rPr>
          <w:b w:val="0"/>
        </w:rPr>
      </w:pPr>
      <w:bookmarkStart w:id="30" w:name="_Toc475693138"/>
      <w:r>
        <w:rPr>
          <w:rFonts w:hint="eastAsia"/>
        </w:rPr>
        <w:t>6.1 认证申请</w:t>
      </w:r>
      <w:bookmarkEnd w:id="30"/>
    </w:p>
    <w:p>
      <w:pPr>
        <w:pStyle w:val="11"/>
        <w:spacing w:after="0" w:line="360" w:lineRule="auto"/>
        <w:ind w:firstLine="480" w:firstLineChars="200"/>
        <w:rPr>
          <w:sz w:val="24"/>
        </w:rPr>
      </w:pPr>
      <w:r>
        <w:rPr>
          <w:rFonts w:hint="eastAsia"/>
          <w:sz w:val="24"/>
        </w:rPr>
        <w:t>认证申请方应使用</w:t>
      </w:r>
      <w:r>
        <w:rPr>
          <w:rFonts w:hint="eastAsia"/>
          <w:sz w:val="24"/>
          <w:lang w:eastAsia="zh-CN"/>
        </w:rPr>
        <w:t>WLGJ</w:t>
      </w:r>
      <w:r>
        <w:rPr>
          <w:rFonts w:hint="eastAsia"/>
          <w:sz w:val="24"/>
        </w:rPr>
        <w:t>制定的统一认证申请书，按照要求全面填写有关信息，并提交</w:t>
      </w:r>
      <w:r>
        <w:rPr>
          <w:rFonts w:hint="eastAsia"/>
          <w:sz w:val="24"/>
          <w:lang w:eastAsia="zh-CN"/>
        </w:rPr>
        <w:t>WLGJ</w:t>
      </w:r>
      <w:r>
        <w:rPr>
          <w:rFonts w:hint="eastAsia"/>
          <w:sz w:val="24"/>
        </w:rPr>
        <w:t>。</w:t>
      </w:r>
    </w:p>
    <w:p>
      <w:pPr>
        <w:pStyle w:val="11"/>
        <w:spacing w:after="0" w:line="360" w:lineRule="auto"/>
        <w:ind w:firstLine="480" w:firstLineChars="200"/>
        <w:rPr>
          <w:sz w:val="24"/>
        </w:rPr>
      </w:pPr>
      <w:r>
        <w:rPr>
          <w:rFonts w:hint="eastAsia"/>
          <w:sz w:val="24"/>
        </w:rPr>
        <w:t>应提供如下资料：</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申请方和拟认证组织的法律地位证明（法人营业执照或法人授权书等）；</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资质或许可证复印件（法律法规规定需要资质和许可证的行业）；</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商标注册证明复印件或商标授权使用证明（认证证书中表明注册商标时需提供）；</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有效的管理体系文件(手册、程序文件等)；</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组织认证场所清单（两个或两个以上场所时提供）；</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生产/服务工艺流程示意图、主要生产和检验/监测设备、产品适用标准清单；</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对产品符合性或体系绩效产生影响的外包信息；</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重要环境因素清单，适用的法律法规清单及环境目标、指标和管理方案；</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环评批复、“三同时”验收报告（适当时）；</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主要污染物，执行的排放标准及类（级）别；</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主要污染物监测报告（适用时）；</w:t>
      </w:r>
    </w:p>
    <w:p>
      <w:pPr>
        <w:numPr>
          <w:ilvl w:val="0"/>
          <w:numId w:val="3"/>
        </w:numPr>
        <w:tabs>
          <w:tab w:val="left" w:pos="0"/>
        </w:tabs>
        <w:snapToGrid w:val="0"/>
        <w:spacing w:line="360" w:lineRule="auto"/>
        <w:ind w:left="-142" w:firstLine="142"/>
        <w:rPr>
          <w:rFonts w:ascii="宋体" w:hAnsi="宋体"/>
          <w:sz w:val="24"/>
        </w:rPr>
      </w:pPr>
      <w:r>
        <w:rPr>
          <w:rFonts w:hint="eastAsia" w:ascii="宋体" w:hAnsi="宋体"/>
          <w:sz w:val="24"/>
        </w:rPr>
        <w:t>当地政府环保部门出具的受审核方在近一年内无环境违法行政处罚的证明（组织活动产生的环境污染、环境影响重大时须提供）；</w:t>
      </w:r>
    </w:p>
    <w:p>
      <w:pPr>
        <w:numPr>
          <w:ilvl w:val="0"/>
          <w:numId w:val="3"/>
        </w:numPr>
        <w:tabs>
          <w:tab w:val="left" w:pos="0"/>
        </w:tabs>
        <w:snapToGrid w:val="0"/>
        <w:spacing w:line="360" w:lineRule="auto"/>
        <w:ind w:left="0" w:firstLine="0"/>
        <w:rPr>
          <w:rFonts w:ascii="宋体" w:hAnsi="宋体"/>
          <w:sz w:val="24"/>
        </w:rPr>
      </w:pPr>
      <w:r>
        <w:rPr>
          <w:rFonts w:hint="eastAsia" w:ascii="宋体" w:hAnsi="宋体"/>
          <w:sz w:val="24"/>
        </w:rPr>
        <w:t>受审核方的环境管理体系所覆盖的活动区域；需要时提供管网示意图（至少包括污水、雨水管）并注明各排污口；</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主要污染物处理流程示意图/处理方法（需要时）；</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不可接受风险清单，适用法律法规清单及职业健康安全目标和管理方案；</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安全情况简介，包括近一年中是否发生事故及处理情况（需要时）；</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职业健康安全管理体系所覆盖的活动区域示意图；</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组织一年内未发生重大安全事故的承诺；</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安全生产许可证、“三同时”验收报告、安全批复、职业病危害预评价批复（需要时）；</w:t>
      </w:r>
    </w:p>
    <w:p>
      <w:pPr>
        <w:numPr>
          <w:ilvl w:val="0"/>
          <w:numId w:val="3"/>
        </w:numPr>
        <w:tabs>
          <w:tab w:val="left" w:pos="300"/>
          <w:tab w:val="left" w:pos="690"/>
        </w:tabs>
        <w:snapToGrid w:val="0"/>
        <w:spacing w:line="360" w:lineRule="auto"/>
        <w:rPr>
          <w:rFonts w:ascii="宋体" w:hAnsi="宋体"/>
          <w:sz w:val="24"/>
        </w:rPr>
      </w:pPr>
      <w:r>
        <w:rPr>
          <w:rFonts w:hint="eastAsia" w:ascii="宋体" w:hAnsi="宋体"/>
          <w:sz w:val="24"/>
        </w:rPr>
        <w:t>作业场所有对人体危害较大的尘毒、噪声等的企业，提供具有法定资格的卫生监测或疾控中心近一年内出具的尘毒、噪声等监测报告。（需要时）</w:t>
      </w:r>
    </w:p>
    <w:p>
      <w:pPr>
        <w:pStyle w:val="3"/>
      </w:pPr>
      <w:bookmarkStart w:id="31" w:name="_Toc475693139"/>
      <w:r>
        <w:rPr>
          <w:rFonts w:hint="eastAsia"/>
        </w:rPr>
        <w:t>6.2合同评审</w:t>
      </w:r>
      <w:bookmarkEnd w:id="31"/>
    </w:p>
    <w:p>
      <w:pPr>
        <w:pStyle w:val="11"/>
        <w:spacing w:after="0" w:line="360" w:lineRule="auto"/>
        <w:ind w:firstLine="480" w:firstLineChars="200"/>
        <w:rPr>
          <w:rFonts w:ascii="宋体" w:hAnsi="宋体"/>
          <w:sz w:val="24"/>
        </w:rPr>
      </w:pPr>
      <w:r>
        <w:rPr>
          <w:rFonts w:hint="eastAsia" w:ascii="宋体" w:hAnsi="宋体"/>
          <w:sz w:val="24"/>
          <w:lang w:eastAsia="zh-CN"/>
        </w:rPr>
        <w:t>WLGJ</w:t>
      </w:r>
      <w:r>
        <w:rPr>
          <w:rFonts w:ascii="宋体" w:hAnsi="宋体"/>
          <w:sz w:val="24"/>
        </w:rPr>
        <w:t>收到申请材料之日起</w:t>
      </w:r>
      <w:r>
        <w:rPr>
          <w:rFonts w:hint="eastAsia" w:ascii="宋体" w:hAnsi="宋体"/>
          <w:sz w:val="24"/>
        </w:rPr>
        <w:t>七日</w:t>
      </w:r>
      <w:r>
        <w:rPr>
          <w:rFonts w:ascii="宋体" w:hAnsi="宋体"/>
          <w:sz w:val="24"/>
        </w:rPr>
        <w:t>内作出是否受理申请的决定，对申请材料进行审查，判断企业是否符合认证审核的条件。对未通过审查的企业，</w:t>
      </w:r>
      <w:r>
        <w:rPr>
          <w:rFonts w:hint="eastAsia" w:ascii="宋体" w:hAnsi="宋体"/>
          <w:sz w:val="24"/>
          <w:lang w:eastAsia="zh-CN"/>
        </w:rPr>
        <w:t>WLGJ</w:t>
      </w:r>
      <w:r>
        <w:rPr>
          <w:rFonts w:ascii="宋体" w:hAnsi="宋体"/>
          <w:sz w:val="24"/>
        </w:rPr>
        <w:t>通知企业进行补充、纠正；不具备条件的；</w:t>
      </w:r>
      <w:r>
        <w:rPr>
          <w:rFonts w:hint="eastAsia" w:ascii="宋体" w:hAnsi="宋体"/>
          <w:sz w:val="24"/>
          <w:lang w:eastAsia="zh-CN"/>
        </w:rPr>
        <w:t>WLGJ</w:t>
      </w:r>
      <w:r>
        <w:rPr>
          <w:rFonts w:ascii="宋体" w:hAnsi="宋体"/>
          <w:sz w:val="24"/>
        </w:rPr>
        <w:t>签发不受理通知书</w:t>
      </w:r>
      <w:r>
        <w:rPr>
          <w:rFonts w:hint="eastAsia" w:ascii="宋体" w:hAnsi="宋体"/>
          <w:sz w:val="24"/>
        </w:rPr>
        <w:t>并</w:t>
      </w:r>
      <w:r>
        <w:rPr>
          <w:rFonts w:ascii="宋体" w:hAnsi="宋体"/>
          <w:sz w:val="24"/>
        </w:rPr>
        <w:t>说明不受理的理由。</w:t>
      </w:r>
      <w:r>
        <w:rPr>
          <w:rFonts w:hint="eastAsia" w:ascii="宋体" w:hAnsi="宋体"/>
          <w:sz w:val="24"/>
        </w:rPr>
        <w:t>主要关注审核范围，确定技术领域类别，风险等级，初步确定审核时间，与申请组织签订认证合同。</w:t>
      </w:r>
    </w:p>
    <w:p>
      <w:pPr>
        <w:pStyle w:val="3"/>
      </w:pPr>
      <w:bookmarkStart w:id="32" w:name="_Toc475693140"/>
      <w:r>
        <w:rPr>
          <w:rFonts w:hint="eastAsia"/>
        </w:rPr>
        <w:t>6.</w:t>
      </w:r>
      <w:r>
        <w:t>2</w:t>
      </w:r>
      <w:r>
        <w:rPr>
          <w:rFonts w:hint="eastAsia"/>
        </w:rPr>
        <w:t>审核策划</w:t>
      </w:r>
      <w:bookmarkEnd w:id="32"/>
    </w:p>
    <w:p>
      <w:pPr>
        <w:spacing w:line="360" w:lineRule="auto"/>
        <w:ind w:firstLine="480" w:firstLineChars="200"/>
        <w:rPr>
          <w:rFonts w:ascii="宋体" w:hAnsi="宋体"/>
          <w:sz w:val="24"/>
        </w:rPr>
      </w:pPr>
      <w:r>
        <w:rPr>
          <w:rFonts w:hint="eastAsia" w:ascii="宋体" w:hAnsi="宋体"/>
          <w:sz w:val="24"/>
        </w:rPr>
        <w:t>审核方案管理人员，依据合同评审确定审核方案的范围和详略程度，识别和评估审核风险，建立审核方案的程序，识别审核方案的所需资源。</w:t>
      </w:r>
    </w:p>
    <w:p>
      <w:pPr>
        <w:spacing w:line="360" w:lineRule="auto"/>
        <w:ind w:firstLine="480" w:firstLineChars="200"/>
        <w:rPr>
          <w:rFonts w:ascii="宋体" w:hAnsi="宋体"/>
          <w:sz w:val="24"/>
        </w:rPr>
      </w:pPr>
      <w:r>
        <w:rPr>
          <w:rFonts w:hint="eastAsia" w:ascii="宋体" w:hAnsi="宋体"/>
          <w:sz w:val="24"/>
        </w:rPr>
        <w:t>1、确定审核的目的、范围与程度、准则，进行审核方案的策划，确定审核风险、专业类别、审核人日</w:t>
      </w:r>
    </w:p>
    <w:p>
      <w:pPr>
        <w:spacing w:line="360" w:lineRule="auto"/>
        <w:ind w:firstLine="480" w:firstLineChars="200"/>
        <w:rPr>
          <w:rFonts w:ascii="宋体" w:hAnsi="宋体"/>
          <w:sz w:val="24"/>
        </w:rPr>
      </w:pPr>
      <w:r>
        <w:rPr>
          <w:rFonts w:hint="eastAsia" w:ascii="宋体" w:hAnsi="宋体"/>
          <w:sz w:val="24"/>
        </w:rPr>
        <w:t>2、确定审核组 依据审核员资格要求、所需人日数、人员语言能力和技能、认证组织的活动类型等，配备审核员，审核组</w:t>
      </w:r>
      <w:r>
        <w:rPr>
          <w:rFonts w:ascii="宋体" w:hAnsi="宋体"/>
          <w:sz w:val="24"/>
        </w:rPr>
        <w:t>由相应资格的专家组成：HSE管理体系审核专家、现场管理专家、环保技术专家和职业安全专家。</w:t>
      </w:r>
    </w:p>
    <w:p>
      <w:pPr>
        <w:ind w:firstLine="480" w:firstLineChars="200"/>
      </w:pPr>
      <w:r>
        <w:rPr>
          <w:rFonts w:hint="eastAsia" w:ascii="宋体" w:hAnsi="宋体"/>
          <w:sz w:val="24"/>
        </w:rPr>
        <w:t>3、进行审核方案的评审、改进，并保持管理方案记录。</w:t>
      </w:r>
    </w:p>
    <w:p>
      <w:pPr>
        <w:pStyle w:val="2"/>
        <w:spacing w:line="360" w:lineRule="auto"/>
      </w:pPr>
      <w:bookmarkStart w:id="33" w:name="_Toc475693141"/>
      <w:r>
        <w:rPr>
          <w:rFonts w:hint="eastAsia"/>
        </w:rPr>
        <w:t>7审核实施</w:t>
      </w:r>
      <w:bookmarkEnd w:id="33"/>
    </w:p>
    <w:p>
      <w:pPr>
        <w:pStyle w:val="3"/>
      </w:pPr>
      <w:bookmarkStart w:id="34" w:name="_Toc475693142"/>
      <w:r>
        <w:rPr>
          <w:rFonts w:hint="eastAsia"/>
        </w:rPr>
        <w:t>7.</w:t>
      </w:r>
      <w:r>
        <w:t>1</w:t>
      </w:r>
      <w:r>
        <w:rPr>
          <w:rFonts w:hint="eastAsia"/>
        </w:rPr>
        <w:t xml:space="preserve"> 审核实施</w:t>
      </w:r>
      <w:bookmarkEnd w:id="34"/>
    </w:p>
    <w:p>
      <w:pPr>
        <w:pStyle w:val="4"/>
      </w:pPr>
      <w:r>
        <w:rPr>
          <w:rFonts w:hint="eastAsia"/>
        </w:rPr>
        <w:t>7.</w:t>
      </w:r>
      <w:r>
        <w:t>1</w:t>
      </w:r>
      <w:r>
        <w:rPr>
          <w:rFonts w:hint="eastAsia"/>
        </w:rPr>
        <w:t>.1初次审核</w:t>
      </w:r>
    </w:p>
    <w:p>
      <w:pPr>
        <w:spacing w:line="360" w:lineRule="auto"/>
        <w:ind w:firstLine="480" w:firstLineChars="200"/>
        <w:jc w:val="left"/>
        <w:rPr>
          <w:rFonts w:ascii="宋体" w:hAnsi="宋体"/>
          <w:sz w:val="24"/>
        </w:rPr>
      </w:pPr>
      <w:r>
        <w:rPr>
          <w:rFonts w:hint="eastAsia" w:ascii="宋体" w:hAnsi="宋体"/>
          <w:sz w:val="24"/>
        </w:rPr>
        <w:t>初次审核分两个阶段实施：第一阶段和第二阶段。</w:t>
      </w:r>
    </w:p>
    <w:p>
      <w:pPr>
        <w:pStyle w:val="11"/>
        <w:spacing w:after="0" w:line="360" w:lineRule="auto"/>
        <w:rPr>
          <w:b/>
          <w:sz w:val="24"/>
        </w:rPr>
      </w:pPr>
      <w:r>
        <w:rPr>
          <w:rFonts w:hint="eastAsia"/>
          <w:b/>
          <w:sz w:val="24"/>
        </w:rPr>
        <w:t>7.</w:t>
      </w:r>
      <w:r>
        <w:rPr>
          <w:b/>
          <w:sz w:val="24"/>
        </w:rPr>
        <w:t>1</w:t>
      </w:r>
      <w:r>
        <w:rPr>
          <w:rFonts w:hint="eastAsia"/>
          <w:b/>
          <w:sz w:val="24"/>
        </w:rPr>
        <w:t>.1.1第一阶段审核</w:t>
      </w:r>
    </w:p>
    <w:p>
      <w:pPr>
        <w:pStyle w:val="5"/>
        <w:spacing w:line="360" w:lineRule="auto"/>
        <w:ind w:left="0" w:leftChars="0" w:firstLine="480" w:firstLineChars="200"/>
        <w:rPr>
          <w:sz w:val="24"/>
          <w:szCs w:val="24"/>
        </w:rPr>
      </w:pPr>
      <w:r>
        <w:rPr>
          <w:rFonts w:hint="eastAsia"/>
          <w:sz w:val="24"/>
          <w:szCs w:val="24"/>
        </w:rPr>
        <w:t>第一阶段审核的目的：确定受审核方是否已按2.2要求建立及运作了HSE管理体系，是否为二阶段审核做好了准备，现场进一步确认拟认证范围的合理性，确定第二阶段审核的关注点。</w:t>
      </w:r>
    </w:p>
    <w:p>
      <w:pPr>
        <w:spacing w:line="360" w:lineRule="auto"/>
        <w:ind w:firstLine="480" w:firstLineChars="200"/>
        <w:jc w:val="left"/>
        <w:rPr>
          <w:rFonts w:ascii="宋体" w:hAnsi="宋体"/>
          <w:sz w:val="24"/>
        </w:rPr>
      </w:pPr>
      <w:r>
        <w:rPr>
          <w:rFonts w:hint="eastAsia" w:ascii="宋体" w:hAnsi="宋体"/>
          <w:sz w:val="24"/>
        </w:rPr>
        <w:t>第一阶段审核</w:t>
      </w:r>
      <w:r>
        <w:rPr>
          <w:rFonts w:hint="eastAsia" w:hAnsi="宋体"/>
          <w:sz w:val="24"/>
        </w:rPr>
        <w:t>包括文件评审和现场审核：</w:t>
      </w:r>
    </w:p>
    <w:p>
      <w:pPr>
        <w:pStyle w:val="5"/>
        <w:numPr>
          <w:ilvl w:val="0"/>
          <w:numId w:val="4"/>
        </w:numPr>
        <w:spacing w:line="360" w:lineRule="auto"/>
        <w:ind w:leftChars="0" w:firstLineChars="0"/>
        <w:rPr>
          <w:rFonts w:hAnsi="宋体"/>
          <w:sz w:val="24"/>
          <w:szCs w:val="24"/>
        </w:rPr>
      </w:pPr>
      <w:r>
        <w:rPr>
          <w:rFonts w:hint="eastAsia" w:hAnsi="宋体"/>
          <w:sz w:val="24"/>
          <w:szCs w:val="24"/>
        </w:rPr>
        <w:t>审核管理体系文件和EMS、OHSMS应有效融合策划；</w:t>
      </w:r>
    </w:p>
    <w:p>
      <w:pPr>
        <w:pStyle w:val="5"/>
        <w:numPr>
          <w:ilvl w:val="0"/>
          <w:numId w:val="4"/>
        </w:numPr>
        <w:spacing w:line="360" w:lineRule="auto"/>
        <w:ind w:leftChars="0" w:firstLineChars="0"/>
        <w:rPr>
          <w:sz w:val="24"/>
          <w:szCs w:val="24"/>
        </w:rPr>
      </w:pPr>
      <w:r>
        <w:rPr>
          <w:rFonts w:hint="eastAsia" w:hAnsi="宋体"/>
          <w:sz w:val="24"/>
          <w:szCs w:val="24"/>
        </w:rPr>
        <w:t>了解受审核方的基本信息</w:t>
      </w:r>
      <w:r>
        <w:rPr>
          <w:rFonts w:hint="eastAsia"/>
          <w:sz w:val="24"/>
          <w:szCs w:val="24"/>
        </w:rPr>
        <w:t>。包括收集关于受审核方的管理体系范围、过程和场所的必要信息，收集相关的法律法规要求和遵守情况及相关的风险，内审、管理评审等；</w:t>
      </w:r>
    </w:p>
    <w:p>
      <w:pPr>
        <w:pStyle w:val="5"/>
        <w:numPr>
          <w:ilvl w:val="0"/>
          <w:numId w:val="4"/>
        </w:numPr>
        <w:spacing w:line="360" w:lineRule="auto"/>
        <w:ind w:leftChars="0" w:firstLineChars="0"/>
        <w:rPr>
          <w:sz w:val="24"/>
          <w:szCs w:val="24"/>
        </w:rPr>
      </w:pPr>
      <w:r>
        <w:rPr>
          <w:rFonts w:hint="eastAsia"/>
          <w:sz w:val="24"/>
          <w:szCs w:val="24"/>
        </w:rPr>
        <w:t>审查客户理解和实施标准要求的情况，特别是对管理体系的风险、目标、绩效或重要因素（环境及职业健康安全）、过程和运行的全面策划情况进行确认。</w:t>
      </w:r>
    </w:p>
    <w:p>
      <w:pPr>
        <w:pStyle w:val="12"/>
        <w:spacing w:line="360" w:lineRule="auto"/>
      </w:pPr>
      <w:r>
        <w:rPr>
          <w:rFonts w:hint="eastAsia"/>
        </w:rPr>
        <w:t>将第一阶段审核发现形成文件，并告知受审核方，包括任何引起关注的、在第二阶段审核中可能被判定为不符合的问题。</w:t>
      </w:r>
    </w:p>
    <w:p>
      <w:pPr>
        <w:pStyle w:val="11"/>
        <w:spacing w:after="0" w:line="360" w:lineRule="auto"/>
        <w:rPr>
          <w:b/>
          <w:sz w:val="24"/>
        </w:rPr>
      </w:pPr>
      <w:r>
        <w:rPr>
          <w:rFonts w:hint="eastAsia"/>
          <w:b/>
          <w:sz w:val="24"/>
        </w:rPr>
        <w:t>7.</w:t>
      </w:r>
      <w:r>
        <w:rPr>
          <w:b/>
          <w:sz w:val="24"/>
        </w:rPr>
        <w:t>1</w:t>
      </w:r>
      <w:r>
        <w:rPr>
          <w:rFonts w:hint="eastAsia"/>
          <w:b/>
          <w:sz w:val="24"/>
        </w:rPr>
        <w:t>.1.2第二阶段审核</w:t>
      </w:r>
    </w:p>
    <w:p>
      <w:pPr>
        <w:spacing w:line="360" w:lineRule="auto"/>
        <w:ind w:firstLine="480" w:firstLineChars="200"/>
        <w:jc w:val="left"/>
        <w:rPr>
          <w:rFonts w:ascii="宋体" w:hAnsi="宋体"/>
          <w:sz w:val="24"/>
        </w:rPr>
      </w:pPr>
      <w:r>
        <w:rPr>
          <w:rFonts w:hint="eastAsia" w:ascii="宋体" w:hAnsi="宋体"/>
          <w:sz w:val="24"/>
        </w:rPr>
        <w:t>第二阶段审核的目的是审核受审核方的管理体系实施情况，审核</w:t>
      </w:r>
      <w:r>
        <w:rPr>
          <w:rFonts w:hint="eastAsia"/>
          <w:sz w:val="24"/>
        </w:rPr>
        <w:t>组通过收集客观证据，综合评价受审核方HSE管理体系是否符合认证准则，运行是否有效。</w:t>
      </w:r>
    </w:p>
    <w:p>
      <w:pPr>
        <w:spacing w:line="360" w:lineRule="auto"/>
        <w:ind w:firstLine="480" w:firstLineChars="200"/>
        <w:jc w:val="left"/>
        <w:rPr>
          <w:sz w:val="24"/>
        </w:rPr>
      </w:pPr>
      <w:r>
        <w:rPr>
          <w:rFonts w:hint="eastAsia"/>
          <w:sz w:val="24"/>
          <w:lang w:eastAsia="zh-CN"/>
        </w:rPr>
        <w:t>WLGJ</w:t>
      </w:r>
      <w:r>
        <w:rPr>
          <w:rFonts w:hint="eastAsia"/>
          <w:sz w:val="24"/>
        </w:rPr>
        <w:t>在确定第一阶段审核和第二阶段审核的间隔时间时，需考虑客户解决第一阶段审核中识别的任何需关注问题所需的时间。</w:t>
      </w:r>
      <w:r>
        <w:rPr>
          <w:rFonts w:hint="eastAsia"/>
          <w:sz w:val="24"/>
          <w:lang w:eastAsia="zh-CN"/>
        </w:rPr>
        <w:t>WLGJ</w:t>
      </w:r>
      <w:r>
        <w:rPr>
          <w:rFonts w:hint="eastAsia"/>
          <w:sz w:val="24"/>
        </w:rPr>
        <w:t>也可能需要调整第二阶段审核的安排。</w:t>
      </w:r>
    </w:p>
    <w:p>
      <w:pPr>
        <w:spacing w:line="360" w:lineRule="auto"/>
        <w:ind w:firstLine="480" w:firstLineChars="200"/>
        <w:jc w:val="left"/>
        <w:rPr>
          <w:kern w:val="0"/>
          <w:sz w:val="24"/>
        </w:rPr>
      </w:pPr>
      <w:r>
        <w:rPr>
          <w:rFonts w:hint="eastAsia"/>
          <w:sz w:val="24"/>
        </w:rPr>
        <w:t>第二阶段审核应覆盖受审核方HSE管理体系拟认证范围内的所有部门、活动、产品和服务，覆盖HSE管理体系标准的所有条款。特别是</w:t>
      </w:r>
      <w:r>
        <w:rPr>
          <w:kern w:val="0"/>
          <w:sz w:val="24"/>
        </w:rPr>
        <w:t>法律法规</w:t>
      </w:r>
      <w:r>
        <w:rPr>
          <w:rFonts w:hint="eastAsia"/>
          <w:kern w:val="0"/>
          <w:sz w:val="24"/>
        </w:rPr>
        <w:t>的符合性、</w:t>
      </w:r>
      <w:r>
        <w:rPr>
          <w:kern w:val="0"/>
          <w:sz w:val="24"/>
        </w:rPr>
        <w:t>HSE管理制度</w:t>
      </w:r>
      <w:r>
        <w:rPr>
          <w:rFonts w:hint="eastAsia"/>
          <w:kern w:val="0"/>
          <w:sz w:val="24"/>
        </w:rPr>
        <w:t>的建立情况、</w:t>
      </w:r>
      <w:r>
        <w:rPr>
          <w:kern w:val="0"/>
          <w:sz w:val="24"/>
        </w:rPr>
        <w:t>HSE管理手段与工具的使用</w:t>
      </w:r>
      <w:r>
        <w:rPr>
          <w:rFonts w:hint="eastAsia"/>
          <w:kern w:val="0"/>
          <w:sz w:val="24"/>
        </w:rPr>
        <w:t>情况</w:t>
      </w:r>
      <w:r>
        <w:rPr>
          <w:kern w:val="0"/>
          <w:sz w:val="24"/>
        </w:rPr>
        <w:t>、HSE</w:t>
      </w:r>
      <w:r>
        <w:rPr>
          <w:rFonts w:hint="eastAsia"/>
          <w:kern w:val="0"/>
          <w:sz w:val="24"/>
        </w:rPr>
        <w:t>运行</w:t>
      </w:r>
      <w:r>
        <w:rPr>
          <w:kern w:val="0"/>
          <w:sz w:val="24"/>
        </w:rPr>
        <w:t>效果</w:t>
      </w:r>
      <w:r>
        <w:rPr>
          <w:rFonts w:hint="eastAsia"/>
          <w:kern w:val="0"/>
          <w:sz w:val="24"/>
        </w:rPr>
        <w:t>及所取得的绩效等。</w:t>
      </w:r>
    </w:p>
    <w:p>
      <w:pPr>
        <w:spacing w:line="360" w:lineRule="auto"/>
        <w:ind w:firstLine="480" w:firstLineChars="200"/>
        <w:rPr>
          <w:sz w:val="24"/>
        </w:rPr>
      </w:pPr>
      <w:r>
        <w:rPr>
          <w:rFonts w:hint="eastAsia"/>
          <w:sz w:val="24"/>
        </w:rPr>
        <w:t>HSE审核要具体关注：</w:t>
      </w:r>
    </w:p>
    <w:p>
      <w:pPr>
        <w:numPr>
          <w:ilvl w:val="0"/>
          <w:numId w:val="5"/>
        </w:numPr>
        <w:spacing w:line="360" w:lineRule="auto"/>
        <w:rPr>
          <w:sz w:val="24"/>
        </w:rPr>
      </w:pPr>
      <w:r>
        <w:rPr>
          <w:rFonts w:hint="eastAsia"/>
          <w:sz w:val="24"/>
        </w:rPr>
        <w:t>六特（人员—管理加作业人员、设备、环境、作业、劳保用品等）一危（危险化学品）一重大（重大危险源）；</w:t>
      </w:r>
    </w:p>
    <w:p>
      <w:pPr>
        <w:numPr>
          <w:ilvl w:val="0"/>
          <w:numId w:val="5"/>
        </w:numPr>
        <w:spacing w:line="360" w:lineRule="auto"/>
        <w:rPr>
          <w:sz w:val="24"/>
        </w:rPr>
      </w:pPr>
      <w:r>
        <w:rPr>
          <w:rFonts w:hint="eastAsia"/>
          <w:sz w:val="24"/>
        </w:rPr>
        <w:t>甲乙类火险区域及活动（甲乙类火险：详见建筑设计防火规范）；</w:t>
      </w:r>
    </w:p>
    <w:p>
      <w:pPr>
        <w:numPr>
          <w:ilvl w:val="0"/>
          <w:numId w:val="5"/>
        </w:numPr>
        <w:spacing w:line="360" w:lineRule="auto"/>
        <w:rPr>
          <w:sz w:val="24"/>
        </w:rPr>
      </w:pPr>
      <w:r>
        <w:rPr>
          <w:rFonts w:hint="eastAsia"/>
          <w:sz w:val="24"/>
        </w:rPr>
        <w:t>和a）、b）有关的相关方活动如：外包的大修或新改扩工程建设管理等；</w:t>
      </w:r>
    </w:p>
    <w:p>
      <w:pPr>
        <w:numPr>
          <w:ilvl w:val="0"/>
          <w:numId w:val="5"/>
        </w:numPr>
        <w:spacing w:line="360" w:lineRule="auto"/>
        <w:rPr>
          <w:sz w:val="24"/>
        </w:rPr>
      </w:pPr>
      <w:r>
        <w:rPr>
          <w:rFonts w:hint="eastAsia"/>
          <w:sz w:val="24"/>
        </w:rPr>
        <w:t>隐患治理绩效；</w:t>
      </w:r>
    </w:p>
    <w:p>
      <w:pPr>
        <w:numPr>
          <w:ilvl w:val="0"/>
          <w:numId w:val="5"/>
        </w:numPr>
        <w:spacing w:line="360" w:lineRule="auto"/>
        <w:rPr>
          <w:sz w:val="24"/>
        </w:rPr>
      </w:pPr>
      <w:r>
        <w:rPr>
          <w:rFonts w:hint="eastAsia"/>
          <w:sz w:val="24"/>
        </w:rPr>
        <w:t>防爆管理；</w:t>
      </w:r>
    </w:p>
    <w:p>
      <w:pPr>
        <w:numPr>
          <w:ilvl w:val="0"/>
          <w:numId w:val="5"/>
        </w:numPr>
        <w:spacing w:line="360" w:lineRule="auto"/>
        <w:rPr>
          <w:sz w:val="24"/>
        </w:rPr>
      </w:pPr>
      <w:r>
        <w:rPr>
          <w:rFonts w:hint="eastAsia"/>
          <w:sz w:val="24"/>
        </w:rPr>
        <w:t>电仪安全（电气预防、静电导通、可燃及有毒报警等管理）；</w:t>
      </w:r>
    </w:p>
    <w:p>
      <w:pPr>
        <w:numPr>
          <w:ilvl w:val="0"/>
          <w:numId w:val="5"/>
        </w:numPr>
        <w:spacing w:line="360" w:lineRule="auto"/>
        <w:rPr>
          <w:sz w:val="24"/>
        </w:rPr>
      </w:pPr>
      <w:r>
        <w:rPr>
          <w:rFonts w:hint="eastAsia"/>
          <w:sz w:val="24"/>
        </w:rPr>
        <w:t>六新技术利用；</w:t>
      </w:r>
    </w:p>
    <w:p>
      <w:pPr>
        <w:numPr>
          <w:ilvl w:val="0"/>
          <w:numId w:val="5"/>
        </w:numPr>
        <w:spacing w:line="360" w:lineRule="auto"/>
        <w:rPr>
          <w:sz w:val="24"/>
        </w:rPr>
      </w:pPr>
      <w:r>
        <w:rPr>
          <w:rFonts w:hint="eastAsia"/>
          <w:sz w:val="24"/>
        </w:rPr>
        <w:t>总量控制；末端治理；</w:t>
      </w:r>
    </w:p>
    <w:p>
      <w:pPr>
        <w:numPr>
          <w:ilvl w:val="0"/>
          <w:numId w:val="5"/>
        </w:numPr>
        <w:spacing w:line="360" w:lineRule="auto"/>
        <w:rPr>
          <w:sz w:val="24"/>
        </w:rPr>
      </w:pPr>
      <w:r>
        <w:rPr>
          <w:rFonts w:hint="eastAsia"/>
          <w:sz w:val="24"/>
        </w:rPr>
        <w:t>能源、资源有效高效利用等。</w:t>
      </w:r>
    </w:p>
    <w:p>
      <w:pPr>
        <w:pStyle w:val="11"/>
        <w:spacing w:after="0" w:line="360" w:lineRule="auto"/>
        <w:rPr>
          <w:b/>
          <w:sz w:val="24"/>
        </w:rPr>
      </w:pPr>
      <w:r>
        <w:rPr>
          <w:rFonts w:hint="eastAsia"/>
          <w:b/>
          <w:sz w:val="24"/>
        </w:rPr>
        <w:t>7.</w:t>
      </w:r>
      <w:r>
        <w:rPr>
          <w:b/>
          <w:sz w:val="24"/>
        </w:rPr>
        <w:t>1</w:t>
      </w:r>
      <w:r>
        <w:rPr>
          <w:rFonts w:hint="eastAsia"/>
          <w:b/>
          <w:sz w:val="24"/>
        </w:rPr>
        <w:t>.1.3现场审核活动实施</w:t>
      </w:r>
    </w:p>
    <w:p>
      <w:pPr>
        <w:spacing w:line="360" w:lineRule="auto"/>
        <w:ind w:firstLine="480"/>
        <w:jc w:val="left"/>
        <w:rPr>
          <w:rFonts w:ascii="宋体" w:hAnsi="宋体"/>
          <w:sz w:val="24"/>
        </w:rPr>
      </w:pPr>
      <w:r>
        <w:rPr>
          <w:rFonts w:hint="eastAsia" w:ascii="宋体" w:hAnsi="宋体"/>
          <w:sz w:val="24"/>
        </w:rPr>
        <w:t>审核组在现场审核前与受审核方沟通，确认审核安排，说明首末次会议议程。</w:t>
      </w:r>
    </w:p>
    <w:p>
      <w:pPr>
        <w:spacing w:line="360" w:lineRule="auto"/>
        <w:ind w:firstLine="480"/>
        <w:jc w:val="left"/>
        <w:rPr>
          <w:rFonts w:ascii="宋体" w:hAnsi="宋体"/>
          <w:sz w:val="24"/>
        </w:rPr>
      </w:pPr>
      <w:r>
        <w:rPr>
          <w:rFonts w:hint="eastAsia" w:ascii="宋体" w:hAnsi="宋体"/>
          <w:sz w:val="24"/>
        </w:rPr>
        <w:t>审核组按照审核计划中日程安排实施审核，通过查阅受审核方的文件和记录、与活动/产品/服务的岗位人员面谈/座谈、观察产品/服务形成过程和活动等适当方法，抽样收集并验证有关的信息，形成审核发现，确认不符合情况。</w:t>
      </w:r>
    </w:p>
    <w:p>
      <w:pPr>
        <w:spacing w:line="360" w:lineRule="auto"/>
        <w:ind w:firstLine="480"/>
        <w:jc w:val="left"/>
        <w:rPr>
          <w:rFonts w:ascii="宋体" w:hAnsi="宋体"/>
          <w:sz w:val="24"/>
        </w:rPr>
      </w:pPr>
      <w:r>
        <w:rPr>
          <w:rFonts w:hint="eastAsia" w:ascii="宋体" w:hAnsi="宋体"/>
          <w:sz w:val="24"/>
        </w:rPr>
        <w:t>在审核过程中，审核组及时与受审核方沟通，通报审核进程，确认审核证据，解决分歧。当审核发现表明不能达到审核目的时，应说明理由，商定后续措施。如果需要改变审核目的和范围或终止审核时，应经审核双方同意后实施。</w:t>
      </w:r>
    </w:p>
    <w:p>
      <w:pPr>
        <w:spacing w:line="360" w:lineRule="auto"/>
        <w:ind w:firstLine="480"/>
        <w:jc w:val="left"/>
        <w:rPr>
          <w:rFonts w:ascii="宋体" w:hAnsi="宋体"/>
          <w:sz w:val="24"/>
        </w:rPr>
      </w:pPr>
      <w:r>
        <w:rPr>
          <w:rFonts w:hint="eastAsia" w:ascii="宋体" w:hAnsi="宋体"/>
          <w:sz w:val="24"/>
        </w:rPr>
        <w:t>审核组长在现场审核结束前，与受审核方沟通现场审核的信息，请受审核方对不符合报告进行确认，并商定对不符合的后续措施的安排，确认审核结论，编制审核报告并于现场审核结束前或审核结束后按照商定的时间提交受审核方。</w:t>
      </w:r>
    </w:p>
    <w:p>
      <w:pPr>
        <w:spacing w:line="360" w:lineRule="auto"/>
        <w:ind w:firstLine="480"/>
        <w:jc w:val="left"/>
        <w:rPr>
          <w:rFonts w:ascii="宋体" w:hAnsi="宋体"/>
          <w:sz w:val="24"/>
        </w:rPr>
      </w:pPr>
      <w:r>
        <w:rPr>
          <w:rFonts w:hint="eastAsia" w:ascii="宋体" w:hAnsi="宋体"/>
          <w:sz w:val="24"/>
        </w:rPr>
        <w:t>对于与</w:t>
      </w:r>
      <w:r>
        <w:rPr>
          <w:sz w:val="24"/>
        </w:rPr>
        <w:t>EMS</w:t>
      </w:r>
      <w:r>
        <w:rPr>
          <w:rFonts w:hint="eastAsia"/>
          <w:sz w:val="24"/>
        </w:rPr>
        <w:t>、</w:t>
      </w:r>
      <w:r>
        <w:rPr>
          <w:sz w:val="24"/>
        </w:rPr>
        <w:t>OHSMS</w:t>
      </w:r>
      <w:r>
        <w:rPr>
          <w:rFonts w:hint="eastAsia"/>
          <w:sz w:val="24"/>
        </w:rPr>
        <w:t>一同进行的HSE认证项目，审核报告使用现行有效的</w:t>
      </w:r>
      <w:r>
        <w:rPr>
          <w:sz w:val="24"/>
        </w:rPr>
        <w:t>EMS</w:t>
      </w:r>
      <w:r>
        <w:rPr>
          <w:rFonts w:hint="eastAsia"/>
          <w:sz w:val="24"/>
        </w:rPr>
        <w:t>、</w:t>
      </w:r>
      <w:r>
        <w:rPr>
          <w:sz w:val="24"/>
        </w:rPr>
        <w:t>OHSMS</w:t>
      </w:r>
      <w:r>
        <w:rPr>
          <w:rFonts w:hint="eastAsia"/>
          <w:sz w:val="24"/>
        </w:rPr>
        <w:t>审核报告；对于单独进行HSE审核的项目使用HSE审核报告。</w:t>
      </w:r>
    </w:p>
    <w:p>
      <w:pPr>
        <w:spacing w:line="360" w:lineRule="auto"/>
        <w:ind w:firstLine="480"/>
        <w:jc w:val="left"/>
        <w:rPr>
          <w:rFonts w:ascii="宋体" w:hAnsi="宋体"/>
          <w:sz w:val="24"/>
        </w:rPr>
      </w:pPr>
      <w:r>
        <w:rPr>
          <w:rFonts w:hint="eastAsia" w:ascii="宋体" w:hAnsi="宋体"/>
          <w:sz w:val="24"/>
        </w:rPr>
        <w:t>审核报告属</w:t>
      </w:r>
      <w:r>
        <w:rPr>
          <w:rFonts w:hint="eastAsia" w:ascii="宋体" w:hAnsi="宋体"/>
          <w:sz w:val="24"/>
          <w:lang w:eastAsia="zh-CN"/>
        </w:rPr>
        <w:t>WLGJ</w:t>
      </w:r>
      <w:r>
        <w:rPr>
          <w:rFonts w:hint="eastAsia" w:ascii="宋体" w:hAnsi="宋体"/>
          <w:sz w:val="24"/>
        </w:rPr>
        <w:t>所有，审核组成员和所有报告接受者应妥善保管并保持其机密性，法律要求除外。</w:t>
      </w:r>
    </w:p>
    <w:p>
      <w:pPr>
        <w:pStyle w:val="41"/>
        <w:spacing w:line="360" w:lineRule="auto"/>
        <w:outlineLvl w:val="9"/>
        <w:rPr>
          <w:rFonts w:eastAsia="宋体"/>
          <w:b/>
          <w:kern w:val="2"/>
          <w:sz w:val="24"/>
          <w:szCs w:val="24"/>
        </w:rPr>
      </w:pPr>
      <w:r>
        <w:rPr>
          <w:rFonts w:hint="eastAsia" w:eastAsia="宋体"/>
          <w:b/>
          <w:kern w:val="2"/>
          <w:sz w:val="24"/>
          <w:szCs w:val="24"/>
        </w:rPr>
        <w:t>7.</w:t>
      </w:r>
      <w:r>
        <w:rPr>
          <w:rFonts w:eastAsia="宋体"/>
          <w:b/>
          <w:kern w:val="2"/>
          <w:sz w:val="24"/>
          <w:szCs w:val="24"/>
        </w:rPr>
        <w:t>1</w:t>
      </w:r>
      <w:r>
        <w:rPr>
          <w:rFonts w:hint="eastAsia" w:eastAsia="宋体"/>
          <w:b/>
          <w:kern w:val="2"/>
          <w:sz w:val="24"/>
          <w:szCs w:val="24"/>
        </w:rPr>
        <w:t>.1.4初次认证的结论</w:t>
      </w:r>
    </w:p>
    <w:p>
      <w:pPr>
        <w:spacing w:line="360" w:lineRule="auto"/>
        <w:ind w:firstLine="480" w:firstLineChars="200"/>
        <w:jc w:val="left"/>
        <w:rPr>
          <w:sz w:val="24"/>
        </w:rPr>
      </w:pPr>
      <w:r>
        <w:rPr>
          <w:rFonts w:hint="eastAsia"/>
          <w:sz w:val="24"/>
        </w:rPr>
        <w:t>审核组应对在第一阶段和第二阶段审核中收集的所有信息和证据进行分析，以评审审核发现并就审核结论达成一致。</w:t>
      </w:r>
    </w:p>
    <w:p>
      <w:pPr>
        <w:spacing w:line="360" w:lineRule="auto"/>
        <w:ind w:firstLine="480" w:firstLineChars="200"/>
        <w:rPr>
          <w:rFonts w:ascii="宋体"/>
          <w:bCs/>
          <w:sz w:val="24"/>
        </w:rPr>
      </w:pPr>
      <w:r>
        <w:rPr>
          <w:rFonts w:ascii="宋体"/>
          <w:bCs/>
          <w:sz w:val="24"/>
        </w:rPr>
        <w:t>注：HSE应</w:t>
      </w:r>
      <w:r>
        <w:rPr>
          <w:rFonts w:hint="eastAsia" w:ascii="宋体"/>
          <w:bCs/>
          <w:sz w:val="24"/>
        </w:rPr>
        <w:t>融在EMS和OHSMS中一起评价，并强调集成，强调和企业实际更好地融合以求持久地价值和有效性。</w:t>
      </w:r>
    </w:p>
    <w:p>
      <w:pPr>
        <w:pStyle w:val="4"/>
      </w:pPr>
      <w:r>
        <w:rPr>
          <w:rFonts w:hint="eastAsia"/>
        </w:rPr>
        <w:t>7.</w:t>
      </w:r>
      <w:r>
        <w:t>1.2</w:t>
      </w:r>
      <w:r>
        <w:rPr>
          <w:rFonts w:hint="eastAsia"/>
        </w:rPr>
        <w:t xml:space="preserve"> 监督活动</w:t>
      </w:r>
    </w:p>
    <w:p>
      <w:pPr>
        <w:pStyle w:val="41"/>
        <w:spacing w:line="360" w:lineRule="auto"/>
        <w:outlineLvl w:val="9"/>
        <w:rPr>
          <w:rFonts w:eastAsia="宋体"/>
          <w:b/>
          <w:kern w:val="2"/>
          <w:sz w:val="24"/>
          <w:szCs w:val="24"/>
        </w:rPr>
      </w:pPr>
      <w:bookmarkStart w:id="35" w:name="_Toc85103640"/>
      <w:bookmarkStart w:id="36" w:name="_Toc85105530"/>
      <w:bookmarkStart w:id="37" w:name="_Toc85256266"/>
      <w:r>
        <w:rPr>
          <w:rFonts w:hint="eastAsia" w:eastAsia="宋体"/>
          <w:b/>
          <w:kern w:val="2"/>
          <w:sz w:val="24"/>
          <w:szCs w:val="24"/>
        </w:rPr>
        <w:t>7.</w:t>
      </w:r>
      <w:r>
        <w:rPr>
          <w:rFonts w:eastAsia="宋体"/>
          <w:b/>
          <w:kern w:val="2"/>
          <w:sz w:val="24"/>
          <w:szCs w:val="24"/>
        </w:rPr>
        <w:t>1</w:t>
      </w:r>
      <w:r>
        <w:rPr>
          <w:rFonts w:hint="eastAsia" w:eastAsia="宋体"/>
          <w:b/>
          <w:kern w:val="2"/>
          <w:sz w:val="24"/>
          <w:szCs w:val="24"/>
        </w:rPr>
        <w:t>.</w:t>
      </w:r>
      <w:r>
        <w:rPr>
          <w:rFonts w:eastAsia="宋体"/>
          <w:b/>
          <w:kern w:val="2"/>
          <w:sz w:val="24"/>
          <w:szCs w:val="24"/>
        </w:rPr>
        <w:t>2.</w:t>
      </w:r>
      <w:r>
        <w:rPr>
          <w:rFonts w:hint="eastAsia" w:eastAsia="宋体"/>
          <w:b/>
          <w:kern w:val="2"/>
          <w:sz w:val="24"/>
          <w:szCs w:val="24"/>
        </w:rPr>
        <w:t>1监督审核的频次</w:t>
      </w:r>
    </w:p>
    <w:p>
      <w:pPr>
        <w:spacing w:line="360" w:lineRule="auto"/>
        <w:ind w:firstLine="480" w:firstLineChars="200"/>
        <w:rPr>
          <w:rFonts w:ascii="宋体" w:hAnsi="宋体"/>
          <w:sz w:val="24"/>
        </w:rPr>
      </w:pPr>
      <w:r>
        <w:rPr>
          <w:rFonts w:hint="eastAsia" w:ascii="宋体" w:hAnsi="宋体"/>
          <w:sz w:val="24"/>
        </w:rPr>
        <w:t>在证书有效期内，须对获证组织实施监督审核</w:t>
      </w:r>
      <w:r>
        <w:rPr>
          <w:rFonts w:hint="eastAsia"/>
          <w:sz w:val="24"/>
        </w:rPr>
        <w:t>，监督审核应至少每个日历年（应进行再认证的年份除外）进行一次</w:t>
      </w:r>
      <w:r>
        <w:rPr>
          <w:rFonts w:hint="eastAsia" w:ascii="宋体" w:hAnsi="宋体"/>
          <w:sz w:val="24"/>
        </w:rPr>
        <w:t>。初次认证后的第一次监督应在认证决定日期起12个月内进行。重点关注变化情况。</w:t>
      </w:r>
    </w:p>
    <w:p>
      <w:pPr>
        <w:spacing w:line="360" w:lineRule="auto"/>
        <w:ind w:firstLine="480" w:firstLineChars="200"/>
        <w:rPr>
          <w:rFonts w:ascii="宋体" w:hAnsi="宋体"/>
          <w:sz w:val="24"/>
        </w:rPr>
      </w:pPr>
      <w:r>
        <w:rPr>
          <w:rFonts w:hint="eastAsia" w:ascii="宋体" w:hAnsi="宋体"/>
          <w:sz w:val="24"/>
        </w:rPr>
        <w:t>若发生下述情况</w:t>
      </w:r>
      <w:r>
        <w:rPr>
          <w:rFonts w:hint="eastAsia"/>
          <w:sz w:val="24"/>
        </w:rPr>
        <w:t>将安排特殊审核或与获证组织商定提前安排监督审核：</w:t>
      </w:r>
    </w:p>
    <w:p>
      <w:pPr>
        <w:numPr>
          <w:ilvl w:val="0"/>
          <w:numId w:val="6"/>
        </w:numPr>
        <w:spacing w:line="360" w:lineRule="auto"/>
        <w:rPr>
          <w:rFonts w:ascii="宋体" w:hAnsi="宋体"/>
          <w:sz w:val="24"/>
        </w:rPr>
      </w:pPr>
      <w:r>
        <w:rPr>
          <w:rFonts w:hint="eastAsia" w:ascii="宋体" w:hAnsi="宋体"/>
          <w:sz w:val="24"/>
        </w:rPr>
        <w:t>获证组织对</w:t>
      </w:r>
      <w:r>
        <w:rPr>
          <w:rFonts w:hint="eastAsia" w:ascii="宋体" w:hAnsi="宋体"/>
          <w:sz w:val="24"/>
          <w:lang w:val="en-GB"/>
        </w:rPr>
        <w:t>HSE</w:t>
      </w:r>
      <w:r>
        <w:rPr>
          <w:rFonts w:hint="eastAsia" w:ascii="宋体" w:hAnsi="宋体"/>
          <w:sz w:val="24"/>
        </w:rPr>
        <w:t>管理体系进行了重大更改</w:t>
      </w:r>
      <w:r>
        <w:rPr>
          <w:rFonts w:ascii="宋体" w:hAnsi="宋体"/>
          <w:sz w:val="24"/>
        </w:rPr>
        <w:t>或发生影响HSE绩效的重大事故时</w:t>
      </w:r>
      <w:r>
        <w:rPr>
          <w:rFonts w:hint="eastAsia" w:ascii="宋体" w:hAnsi="宋体"/>
          <w:sz w:val="24"/>
        </w:rPr>
        <w:t>；</w:t>
      </w:r>
    </w:p>
    <w:p>
      <w:pPr>
        <w:pStyle w:val="12"/>
        <w:numPr>
          <w:ilvl w:val="0"/>
          <w:numId w:val="6"/>
        </w:numPr>
        <w:spacing w:line="360" w:lineRule="auto"/>
        <w:ind w:firstLineChars="0"/>
      </w:pPr>
      <w:r>
        <w:rPr>
          <w:rFonts w:hint="eastAsia"/>
        </w:rPr>
        <w:t>有足够信息表明获证组织发生了组织机构、生产条件、产品变更等影响到其认证基础的更改；</w:t>
      </w:r>
    </w:p>
    <w:p>
      <w:pPr>
        <w:pStyle w:val="12"/>
        <w:numPr>
          <w:ilvl w:val="0"/>
          <w:numId w:val="6"/>
        </w:numPr>
        <w:spacing w:line="360" w:lineRule="auto"/>
        <w:ind w:firstLineChars="0"/>
      </w:pPr>
      <w:r>
        <w:rPr>
          <w:rFonts w:hint="eastAsia"/>
        </w:rPr>
        <w:t>获证组织的HSE影响出现严重问题或用户提出投诉未得到处理时；</w:t>
      </w:r>
    </w:p>
    <w:p>
      <w:pPr>
        <w:numPr>
          <w:ilvl w:val="0"/>
          <w:numId w:val="6"/>
        </w:numPr>
        <w:spacing w:line="360" w:lineRule="auto"/>
        <w:rPr>
          <w:rFonts w:ascii="宋体" w:hAnsi="宋体"/>
          <w:b/>
          <w:bCs/>
          <w:sz w:val="24"/>
        </w:rPr>
      </w:pPr>
      <w:r>
        <w:rPr>
          <w:rFonts w:hint="eastAsia"/>
          <w:sz w:val="24"/>
        </w:rPr>
        <w:t>其他需要考虑的情况。</w:t>
      </w:r>
    </w:p>
    <w:bookmarkEnd w:id="35"/>
    <w:bookmarkEnd w:id="36"/>
    <w:bookmarkEnd w:id="37"/>
    <w:p>
      <w:pPr>
        <w:spacing w:line="360" w:lineRule="auto"/>
        <w:rPr>
          <w:rFonts w:ascii="宋体" w:hAnsi="宋体"/>
          <w:b/>
          <w:bCs/>
          <w:sz w:val="24"/>
        </w:rPr>
      </w:pPr>
      <w:bookmarkStart w:id="38" w:name="_Toc33599598"/>
      <w:bookmarkStart w:id="39" w:name="_Toc33599725"/>
      <w:bookmarkStart w:id="40" w:name="_Toc33600388"/>
      <w:bookmarkStart w:id="41" w:name="_Toc33600432"/>
      <w:bookmarkStart w:id="42" w:name="_Toc85103641"/>
      <w:bookmarkStart w:id="43" w:name="_Toc85105531"/>
      <w:bookmarkStart w:id="44" w:name="_Toc85256267"/>
      <w:r>
        <w:rPr>
          <w:rFonts w:hint="eastAsia" w:ascii="宋体" w:hAnsi="宋体"/>
          <w:b/>
          <w:bCs/>
          <w:sz w:val="24"/>
        </w:rPr>
        <w:t>7.</w:t>
      </w:r>
      <w:r>
        <w:rPr>
          <w:rFonts w:ascii="宋体" w:hAnsi="宋体"/>
          <w:b/>
          <w:bCs/>
          <w:sz w:val="24"/>
        </w:rPr>
        <w:t>1</w:t>
      </w:r>
      <w:r>
        <w:rPr>
          <w:rFonts w:hint="eastAsia" w:ascii="宋体" w:hAnsi="宋体"/>
          <w:b/>
          <w:bCs/>
          <w:sz w:val="24"/>
        </w:rPr>
        <w:t>.2</w:t>
      </w:r>
      <w:r>
        <w:rPr>
          <w:rFonts w:ascii="宋体" w:hAnsi="宋体"/>
          <w:b/>
          <w:bCs/>
          <w:sz w:val="24"/>
        </w:rPr>
        <w:t>.</w:t>
      </w:r>
      <w:r>
        <w:rPr>
          <w:rFonts w:hint="eastAsia" w:ascii="宋体" w:hAnsi="宋体"/>
          <w:b/>
          <w:bCs/>
          <w:sz w:val="24"/>
        </w:rPr>
        <w:t>2</w:t>
      </w:r>
      <w:bookmarkEnd w:id="38"/>
      <w:bookmarkEnd w:id="39"/>
      <w:bookmarkEnd w:id="40"/>
      <w:bookmarkEnd w:id="41"/>
      <w:bookmarkEnd w:id="42"/>
      <w:bookmarkEnd w:id="43"/>
      <w:bookmarkEnd w:id="44"/>
      <w:r>
        <w:rPr>
          <w:rFonts w:hint="eastAsia" w:ascii="宋体" w:hAnsi="宋体"/>
          <w:b/>
          <w:bCs/>
          <w:sz w:val="24"/>
        </w:rPr>
        <w:t>获证后监督审核的内容</w:t>
      </w:r>
    </w:p>
    <w:p>
      <w:pPr>
        <w:spacing w:line="360" w:lineRule="auto"/>
        <w:ind w:firstLine="480" w:firstLineChars="200"/>
        <w:rPr>
          <w:sz w:val="24"/>
        </w:rPr>
      </w:pPr>
      <w:r>
        <w:rPr>
          <w:rFonts w:hint="eastAsia"/>
          <w:sz w:val="24"/>
        </w:rPr>
        <w:t>获证后监督审核的内容至少包括对以下方面的审查：</w:t>
      </w:r>
    </w:p>
    <w:p>
      <w:pPr>
        <w:pStyle w:val="5"/>
        <w:numPr>
          <w:ilvl w:val="0"/>
          <w:numId w:val="7"/>
        </w:numPr>
        <w:spacing w:line="360" w:lineRule="auto"/>
        <w:ind w:leftChars="0" w:firstLineChars="0"/>
        <w:rPr>
          <w:sz w:val="24"/>
          <w:szCs w:val="24"/>
        </w:rPr>
      </w:pPr>
      <w:r>
        <w:rPr>
          <w:rFonts w:hint="eastAsia"/>
          <w:sz w:val="24"/>
          <w:szCs w:val="24"/>
        </w:rPr>
        <w:t>内部审核和管理评审；</w:t>
      </w:r>
    </w:p>
    <w:p>
      <w:pPr>
        <w:pStyle w:val="5"/>
        <w:numPr>
          <w:ilvl w:val="0"/>
          <w:numId w:val="7"/>
        </w:numPr>
        <w:spacing w:line="360" w:lineRule="auto"/>
        <w:ind w:leftChars="0" w:firstLineChars="0"/>
        <w:rPr>
          <w:sz w:val="24"/>
          <w:szCs w:val="24"/>
        </w:rPr>
      </w:pPr>
      <w:r>
        <w:rPr>
          <w:rFonts w:hint="eastAsia"/>
          <w:sz w:val="24"/>
          <w:szCs w:val="24"/>
        </w:rPr>
        <w:t>对上次评价中确定的不符合采取的措施；</w:t>
      </w:r>
    </w:p>
    <w:p>
      <w:pPr>
        <w:pStyle w:val="5"/>
        <w:numPr>
          <w:ilvl w:val="0"/>
          <w:numId w:val="7"/>
        </w:numPr>
        <w:spacing w:line="360" w:lineRule="auto"/>
        <w:ind w:leftChars="0" w:firstLineChars="0"/>
        <w:rPr>
          <w:sz w:val="24"/>
          <w:szCs w:val="24"/>
        </w:rPr>
      </w:pPr>
      <w:r>
        <w:rPr>
          <w:rFonts w:hint="eastAsia"/>
          <w:sz w:val="24"/>
          <w:szCs w:val="24"/>
        </w:rPr>
        <w:t>投诉的处理；</w:t>
      </w:r>
    </w:p>
    <w:p>
      <w:pPr>
        <w:pStyle w:val="5"/>
        <w:numPr>
          <w:ilvl w:val="0"/>
          <w:numId w:val="7"/>
        </w:numPr>
        <w:spacing w:line="360" w:lineRule="auto"/>
        <w:ind w:leftChars="0" w:firstLineChars="0"/>
        <w:rPr>
          <w:sz w:val="24"/>
          <w:szCs w:val="24"/>
        </w:rPr>
      </w:pPr>
      <w:r>
        <w:rPr>
          <w:rFonts w:hint="eastAsia"/>
          <w:sz w:val="24"/>
          <w:szCs w:val="24"/>
        </w:rPr>
        <w:t>HSE管理体系在实现目标方面的有效性；</w:t>
      </w:r>
    </w:p>
    <w:p>
      <w:pPr>
        <w:pStyle w:val="5"/>
        <w:numPr>
          <w:ilvl w:val="0"/>
          <w:numId w:val="7"/>
        </w:numPr>
        <w:spacing w:line="360" w:lineRule="auto"/>
        <w:ind w:leftChars="0" w:firstLineChars="0"/>
        <w:rPr>
          <w:sz w:val="24"/>
          <w:szCs w:val="24"/>
        </w:rPr>
      </w:pPr>
      <w:r>
        <w:rPr>
          <w:rFonts w:hint="eastAsia"/>
          <w:sz w:val="24"/>
          <w:szCs w:val="24"/>
        </w:rPr>
        <w:t>为持续改进而策划的活动的进展；</w:t>
      </w:r>
    </w:p>
    <w:p>
      <w:pPr>
        <w:pStyle w:val="5"/>
        <w:numPr>
          <w:ilvl w:val="0"/>
          <w:numId w:val="7"/>
        </w:numPr>
        <w:spacing w:line="360" w:lineRule="auto"/>
        <w:ind w:leftChars="0" w:firstLineChars="0"/>
        <w:rPr>
          <w:sz w:val="24"/>
          <w:szCs w:val="24"/>
        </w:rPr>
      </w:pPr>
      <w:r>
        <w:rPr>
          <w:rFonts w:hint="eastAsia"/>
          <w:sz w:val="24"/>
          <w:szCs w:val="24"/>
        </w:rPr>
        <w:t>持续的运作控制；</w:t>
      </w:r>
    </w:p>
    <w:p>
      <w:pPr>
        <w:pStyle w:val="5"/>
        <w:numPr>
          <w:ilvl w:val="0"/>
          <w:numId w:val="7"/>
        </w:numPr>
        <w:spacing w:line="360" w:lineRule="auto"/>
        <w:ind w:leftChars="0" w:firstLineChars="0"/>
        <w:rPr>
          <w:sz w:val="24"/>
          <w:szCs w:val="24"/>
        </w:rPr>
      </w:pPr>
      <w:r>
        <w:rPr>
          <w:sz w:val="24"/>
          <w:szCs w:val="24"/>
        </w:rPr>
        <w:t>绩效</w:t>
      </w:r>
      <w:r>
        <w:rPr>
          <w:rFonts w:hint="eastAsia"/>
          <w:sz w:val="24"/>
          <w:szCs w:val="24"/>
        </w:rPr>
        <w:t>；</w:t>
      </w:r>
    </w:p>
    <w:p>
      <w:pPr>
        <w:pStyle w:val="5"/>
        <w:numPr>
          <w:ilvl w:val="0"/>
          <w:numId w:val="7"/>
        </w:numPr>
        <w:spacing w:line="360" w:lineRule="auto"/>
        <w:ind w:leftChars="0" w:firstLineChars="0"/>
        <w:rPr>
          <w:sz w:val="24"/>
          <w:szCs w:val="24"/>
        </w:rPr>
      </w:pPr>
      <w:r>
        <w:rPr>
          <w:rFonts w:hint="eastAsia"/>
          <w:sz w:val="24"/>
          <w:szCs w:val="24"/>
        </w:rPr>
        <w:t>任何情况的变更（如机构、职责、文件、区域、活动、产品、服务等）以及变更对体系运行符合性和有效性的影响 ；</w:t>
      </w:r>
    </w:p>
    <w:p>
      <w:pPr>
        <w:pStyle w:val="5"/>
        <w:numPr>
          <w:ilvl w:val="0"/>
          <w:numId w:val="7"/>
        </w:numPr>
        <w:spacing w:line="360" w:lineRule="auto"/>
        <w:ind w:leftChars="0" w:firstLineChars="0"/>
        <w:rPr>
          <w:sz w:val="24"/>
          <w:szCs w:val="24"/>
        </w:rPr>
      </w:pPr>
      <w:r>
        <w:rPr>
          <w:rFonts w:hint="eastAsia"/>
          <w:sz w:val="24"/>
          <w:szCs w:val="24"/>
        </w:rPr>
        <w:t>证书的使用和（或）任何其他对评价资格的引用。</w:t>
      </w:r>
    </w:p>
    <w:p>
      <w:pPr>
        <w:spacing w:line="360" w:lineRule="auto"/>
        <w:ind w:firstLine="480" w:firstLineChars="200"/>
        <w:rPr>
          <w:rFonts w:ascii="宋体" w:hAnsi="宋体"/>
          <w:sz w:val="24"/>
        </w:rPr>
      </w:pPr>
      <w:r>
        <w:rPr>
          <w:rFonts w:hint="eastAsia" w:ascii="宋体" w:hAnsi="宋体"/>
          <w:sz w:val="24"/>
        </w:rPr>
        <w:t>获证组织应保存全部投诉记录，需要时提供认证机构。</w:t>
      </w:r>
    </w:p>
    <w:p>
      <w:pPr>
        <w:spacing w:line="360" w:lineRule="auto"/>
        <w:ind w:firstLine="480" w:firstLineChars="200"/>
        <w:rPr>
          <w:sz w:val="24"/>
        </w:rPr>
      </w:pPr>
      <w:r>
        <w:rPr>
          <w:rFonts w:hint="eastAsia" w:ascii="宋体" w:hAnsi="宋体"/>
          <w:sz w:val="24"/>
          <w:lang w:eastAsia="zh-CN"/>
        </w:rPr>
        <w:t>WLGJ</w:t>
      </w:r>
      <w:r>
        <w:rPr>
          <w:rFonts w:hint="eastAsia" w:ascii="宋体" w:hAnsi="宋体"/>
          <w:sz w:val="24"/>
        </w:rPr>
        <w:t>根据以上信息对获证组织HSE管理体系进行审核，确认其是否持续满足认证要求。</w:t>
      </w:r>
    </w:p>
    <w:p>
      <w:pPr>
        <w:pStyle w:val="4"/>
      </w:pPr>
      <w:r>
        <w:rPr>
          <w:rFonts w:hint="eastAsia"/>
        </w:rPr>
        <w:t>7.</w:t>
      </w:r>
      <w:r>
        <w:t>1.3</w:t>
      </w:r>
      <w:r>
        <w:rPr>
          <w:rFonts w:hint="eastAsia"/>
        </w:rPr>
        <w:t xml:space="preserve"> 再认证</w:t>
      </w:r>
    </w:p>
    <w:p>
      <w:pPr>
        <w:pStyle w:val="12"/>
        <w:spacing w:line="360" w:lineRule="auto"/>
      </w:pPr>
      <w:r>
        <w:rPr>
          <w:rFonts w:hint="eastAsia"/>
        </w:rPr>
        <w:t>HSE管理体系认证证书有效期为3年，获证组织在证书有效期满前至少三个月，提出再认证申请。再认证的目的是验证作为一个整体的组织</w:t>
      </w:r>
      <w:r>
        <w:rPr>
          <w:rFonts w:hint="eastAsia"/>
          <w:lang w:val="en-GB"/>
        </w:rPr>
        <w:t>HSE</w:t>
      </w:r>
      <w:r>
        <w:rPr>
          <w:rFonts w:hint="eastAsia"/>
        </w:rPr>
        <w:t>管理体系全面的持续符合性和有效性，以及认证范围的持续相关性和适宜性。</w:t>
      </w:r>
    </w:p>
    <w:p>
      <w:pPr>
        <w:pStyle w:val="12"/>
        <w:spacing w:line="360" w:lineRule="auto"/>
      </w:pPr>
      <w:r>
        <w:rPr>
          <w:rFonts w:hint="eastAsia"/>
        </w:rPr>
        <w:t>再认证至少应确保：</w:t>
      </w:r>
    </w:p>
    <w:p>
      <w:pPr>
        <w:pStyle w:val="5"/>
        <w:numPr>
          <w:ilvl w:val="0"/>
          <w:numId w:val="8"/>
        </w:numPr>
        <w:spacing w:line="360" w:lineRule="auto"/>
        <w:ind w:leftChars="0" w:firstLineChars="0"/>
        <w:rPr>
          <w:sz w:val="24"/>
          <w:szCs w:val="24"/>
        </w:rPr>
      </w:pPr>
      <w:r>
        <w:rPr>
          <w:rFonts w:hint="eastAsia"/>
          <w:sz w:val="24"/>
          <w:szCs w:val="24"/>
        </w:rPr>
        <w:t>整个管理体系的有效性（包括内部和外部情况变更后其体系整体上的有效性），以及认证范围的持续相关性和适宜性；</w:t>
      </w:r>
    </w:p>
    <w:p>
      <w:pPr>
        <w:pStyle w:val="5"/>
        <w:numPr>
          <w:ilvl w:val="0"/>
          <w:numId w:val="8"/>
        </w:numPr>
        <w:spacing w:line="360" w:lineRule="auto"/>
        <w:ind w:leftChars="0" w:firstLineChars="0"/>
        <w:rPr>
          <w:sz w:val="24"/>
          <w:szCs w:val="24"/>
        </w:rPr>
      </w:pPr>
      <w:r>
        <w:rPr>
          <w:rFonts w:hint="eastAsia"/>
          <w:sz w:val="24"/>
          <w:szCs w:val="24"/>
        </w:rPr>
        <w:t>经证实的管理体系的改进；</w:t>
      </w:r>
    </w:p>
    <w:p>
      <w:pPr>
        <w:pStyle w:val="5"/>
        <w:numPr>
          <w:ilvl w:val="0"/>
          <w:numId w:val="8"/>
        </w:numPr>
        <w:spacing w:line="360" w:lineRule="auto"/>
        <w:ind w:left="420" w:leftChars="0" w:firstLine="6" w:firstLineChars="0"/>
        <w:rPr>
          <w:sz w:val="24"/>
          <w:szCs w:val="24"/>
        </w:rPr>
      </w:pPr>
      <w:r>
        <w:rPr>
          <w:rFonts w:hint="eastAsia"/>
          <w:sz w:val="24"/>
          <w:szCs w:val="24"/>
        </w:rPr>
        <w:t>管理体系的运行是否促进了组织方针和目标的实现；</w:t>
      </w:r>
    </w:p>
    <w:p>
      <w:pPr>
        <w:pStyle w:val="5"/>
        <w:numPr>
          <w:ilvl w:val="0"/>
          <w:numId w:val="8"/>
        </w:numPr>
        <w:spacing w:line="360" w:lineRule="auto"/>
        <w:ind w:left="420" w:leftChars="0" w:firstLine="6" w:firstLineChars="0"/>
        <w:rPr>
          <w:sz w:val="24"/>
          <w:szCs w:val="24"/>
        </w:rPr>
      </w:pPr>
      <w:r>
        <w:rPr>
          <w:rFonts w:hint="eastAsia"/>
          <w:sz w:val="24"/>
          <w:szCs w:val="24"/>
        </w:rPr>
        <w:t>再评价不符合关闭应在原证书有效期前完成。</w:t>
      </w:r>
    </w:p>
    <w:p>
      <w:pPr>
        <w:pStyle w:val="12"/>
        <w:spacing w:line="360" w:lineRule="auto"/>
      </w:pPr>
      <w:r>
        <w:rPr>
          <w:rFonts w:hint="eastAsia"/>
        </w:rPr>
        <w:t>在对获证组织日常监督中，发现获证组织的出现严重影响</w:t>
      </w:r>
      <w:r>
        <w:rPr>
          <w:rFonts w:hint="eastAsia"/>
          <w:lang w:val="en-GB"/>
        </w:rPr>
        <w:t>HSE</w:t>
      </w:r>
      <w:r>
        <w:rPr>
          <w:rFonts w:hint="eastAsia"/>
        </w:rPr>
        <w:t>管理体系运作和活动、产品和服务有重大变更时，或对获证组织的投诉分析和其他信息表明获证组织不再满足认证要求时，将安排特殊审核或与获证组织商定提前安排再认证。</w:t>
      </w:r>
    </w:p>
    <w:p>
      <w:pPr>
        <w:spacing w:line="360" w:lineRule="auto"/>
        <w:ind w:firstLine="480" w:firstLineChars="200"/>
        <w:rPr>
          <w:sz w:val="24"/>
        </w:rPr>
      </w:pPr>
      <w:r>
        <w:rPr>
          <w:rFonts w:hint="eastAsia"/>
          <w:sz w:val="24"/>
        </w:rPr>
        <w:t>当管理体系、获证组织或管理体系的运作环境（如法律的变更）有重大变更时，再认证活动可能需要有第一阶段审核。</w:t>
      </w:r>
    </w:p>
    <w:p>
      <w:pPr>
        <w:pStyle w:val="2"/>
        <w:spacing w:line="360" w:lineRule="auto"/>
      </w:pPr>
      <w:bookmarkStart w:id="45" w:name="_Toc85103626"/>
      <w:bookmarkStart w:id="46" w:name="_Toc85105515"/>
      <w:bookmarkStart w:id="47" w:name="_Toc85256251"/>
      <w:bookmarkStart w:id="48" w:name="_Toc85256281"/>
      <w:bookmarkStart w:id="49" w:name="_Toc475693143"/>
      <w:bookmarkStart w:id="50" w:name="_Toc33598533"/>
      <w:bookmarkStart w:id="51" w:name="_Toc33598904"/>
      <w:bookmarkStart w:id="52" w:name="_Toc33598964"/>
      <w:bookmarkStart w:id="53" w:name="_Toc33599579"/>
      <w:bookmarkStart w:id="54" w:name="_Toc33599706"/>
      <w:bookmarkStart w:id="55" w:name="_Toc33600364"/>
      <w:bookmarkStart w:id="56" w:name="_Toc33600413"/>
      <w:r>
        <w:rPr>
          <w:rFonts w:hint="eastAsia"/>
        </w:rPr>
        <w:t>8认证的批准、保持、扩大、缩小、暂停、恢复和撤消的条件</w:t>
      </w:r>
      <w:bookmarkEnd w:id="45"/>
      <w:bookmarkEnd w:id="46"/>
      <w:bookmarkEnd w:id="47"/>
      <w:bookmarkEnd w:id="48"/>
      <w:r>
        <w:rPr>
          <w:rFonts w:hint="eastAsia"/>
        </w:rPr>
        <w:t>和程序</w:t>
      </w:r>
      <w:bookmarkEnd w:id="49"/>
    </w:p>
    <w:p>
      <w:pPr>
        <w:pStyle w:val="3"/>
      </w:pPr>
      <w:bookmarkStart w:id="57" w:name="_Toc85103627"/>
      <w:bookmarkStart w:id="58" w:name="_Toc85105516"/>
      <w:bookmarkStart w:id="59" w:name="_Toc85256252"/>
      <w:bookmarkStart w:id="60" w:name="_Toc85256282"/>
      <w:bookmarkStart w:id="61" w:name="_Toc475693144"/>
      <w:r>
        <w:rPr>
          <w:rFonts w:hint="eastAsia"/>
        </w:rPr>
        <w:t>8.1 批准认证资格的条件</w:t>
      </w:r>
      <w:bookmarkEnd w:id="57"/>
      <w:bookmarkEnd w:id="58"/>
      <w:bookmarkEnd w:id="59"/>
      <w:bookmarkEnd w:id="60"/>
      <w:r>
        <w:rPr>
          <w:rFonts w:hint="eastAsia"/>
        </w:rPr>
        <w:t>和程序</w:t>
      </w:r>
      <w:bookmarkEnd w:id="61"/>
    </w:p>
    <w:p>
      <w:pPr>
        <w:pStyle w:val="4"/>
      </w:pPr>
      <w:r>
        <w:rPr>
          <w:rFonts w:hint="eastAsia"/>
        </w:rPr>
        <w:t>8.1.1 批准认证资格的条件</w:t>
      </w:r>
    </w:p>
    <w:p>
      <w:pPr>
        <w:numPr>
          <w:ilvl w:val="0"/>
          <w:numId w:val="9"/>
        </w:numPr>
        <w:spacing w:line="360" w:lineRule="auto"/>
        <w:jc w:val="left"/>
        <w:rPr>
          <w:rFonts w:ascii="宋体" w:hAnsi="宋体"/>
          <w:sz w:val="24"/>
        </w:rPr>
      </w:pPr>
      <w:r>
        <w:rPr>
          <w:rFonts w:hint="eastAsia" w:ascii="宋体" w:hAnsi="宋体"/>
          <w:sz w:val="24"/>
        </w:rPr>
        <w:t>认证申请方的申请材料真实、准确、有效；</w:t>
      </w:r>
    </w:p>
    <w:p>
      <w:pPr>
        <w:numPr>
          <w:ilvl w:val="0"/>
          <w:numId w:val="9"/>
        </w:numPr>
        <w:spacing w:line="360" w:lineRule="auto"/>
        <w:jc w:val="left"/>
        <w:rPr>
          <w:bCs/>
          <w:sz w:val="24"/>
        </w:rPr>
      </w:pPr>
      <w:r>
        <w:rPr>
          <w:rFonts w:hint="eastAsia" w:ascii="宋体" w:hAnsi="宋体"/>
          <w:sz w:val="24"/>
        </w:rPr>
        <w:t>受审核方建立和实施的HSE管理体系符合2.2要求</w:t>
      </w:r>
    </w:p>
    <w:p>
      <w:pPr>
        <w:numPr>
          <w:ilvl w:val="0"/>
          <w:numId w:val="9"/>
        </w:numPr>
        <w:spacing w:line="360" w:lineRule="auto"/>
        <w:jc w:val="left"/>
        <w:rPr>
          <w:rFonts w:ascii="宋体" w:hAnsi="宋体"/>
          <w:sz w:val="24"/>
        </w:rPr>
      </w:pPr>
      <w:r>
        <w:rPr>
          <w:rFonts w:hint="eastAsia" w:ascii="宋体" w:hAnsi="宋体"/>
          <w:sz w:val="24"/>
        </w:rPr>
        <w:t>审核组提出了推荐认证注册的审核结论；</w:t>
      </w:r>
    </w:p>
    <w:p>
      <w:pPr>
        <w:numPr>
          <w:ilvl w:val="0"/>
          <w:numId w:val="9"/>
        </w:numPr>
        <w:spacing w:line="360" w:lineRule="auto"/>
        <w:jc w:val="left"/>
        <w:rPr>
          <w:rFonts w:ascii="宋体" w:hAnsi="宋体"/>
          <w:sz w:val="24"/>
        </w:rPr>
      </w:pPr>
      <w:r>
        <w:rPr>
          <w:rFonts w:hint="eastAsia" w:ascii="宋体" w:hAnsi="宋体"/>
          <w:sz w:val="24"/>
        </w:rPr>
        <w:t xml:space="preserve">受审核方申请的认证范围在法律地位文件和资质规定的范围内； </w:t>
      </w:r>
    </w:p>
    <w:p>
      <w:pPr>
        <w:numPr>
          <w:ilvl w:val="0"/>
          <w:numId w:val="9"/>
        </w:numPr>
        <w:tabs>
          <w:tab w:val="left" w:pos="900"/>
          <w:tab w:val="left" w:pos="1080"/>
          <w:tab w:val="left" w:pos="1260"/>
        </w:tabs>
        <w:spacing w:line="360" w:lineRule="auto"/>
        <w:jc w:val="left"/>
        <w:rPr>
          <w:rFonts w:ascii="宋体" w:hAnsi="宋体"/>
          <w:sz w:val="24"/>
        </w:rPr>
      </w:pPr>
      <w:r>
        <w:rPr>
          <w:rFonts w:hint="eastAsia" w:ascii="宋体" w:hAnsi="宋体"/>
          <w:sz w:val="24"/>
        </w:rPr>
        <w:t>国家或地方或行业有要求时，受审核方申请认证范围内的组织单元、产品、服务及其过程和活动已满足适用的法律法规的要求；</w:t>
      </w:r>
    </w:p>
    <w:p>
      <w:pPr>
        <w:numPr>
          <w:ilvl w:val="0"/>
          <w:numId w:val="9"/>
        </w:numPr>
        <w:spacing w:line="360" w:lineRule="auto"/>
        <w:jc w:val="left"/>
        <w:rPr>
          <w:rFonts w:ascii="宋体" w:hAnsi="宋体"/>
          <w:sz w:val="24"/>
        </w:rPr>
      </w:pPr>
      <w:r>
        <w:rPr>
          <w:rFonts w:hint="eastAsia" w:ascii="宋体" w:hAnsi="宋体"/>
          <w:sz w:val="24"/>
        </w:rPr>
        <w:t>审核证据表明受审核方管理评审和内部审核的安排已实施、有效且得到保持，并已进行了一次覆盖HSE管理体系所有要求的完整内部审核；</w:t>
      </w:r>
    </w:p>
    <w:p>
      <w:pPr>
        <w:pStyle w:val="5"/>
        <w:numPr>
          <w:ilvl w:val="0"/>
          <w:numId w:val="9"/>
        </w:numPr>
        <w:spacing w:line="360" w:lineRule="auto"/>
        <w:ind w:leftChars="0" w:firstLineChars="0"/>
        <w:jc w:val="left"/>
        <w:rPr>
          <w:rFonts w:hAnsi="宋体"/>
          <w:sz w:val="24"/>
          <w:szCs w:val="24"/>
        </w:rPr>
      </w:pPr>
      <w:r>
        <w:rPr>
          <w:rFonts w:hint="eastAsia" w:hAnsi="宋体"/>
          <w:sz w:val="24"/>
          <w:szCs w:val="24"/>
        </w:rPr>
        <w:t>审核中发现的不合格</w:t>
      </w:r>
      <w:r>
        <w:rPr>
          <w:rFonts w:hAnsi="宋体"/>
          <w:sz w:val="24"/>
          <w:szCs w:val="24"/>
          <w:lang w:val="en-GB"/>
        </w:rPr>
        <w:t>在规定期限内</w:t>
      </w:r>
      <w:r>
        <w:rPr>
          <w:rFonts w:hint="eastAsia" w:hAnsi="宋体"/>
          <w:sz w:val="24"/>
          <w:szCs w:val="24"/>
        </w:rPr>
        <w:t>已经采取纠正/纠正措施或制定了纠正/纠正措施计划；</w:t>
      </w:r>
    </w:p>
    <w:p>
      <w:pPr>
        <w:pStyle w:val="5"/>
        <w:numPr>
          <w:ilvl w:val="0"/>
          <w:numId w:val="9"/>
        </w:numPr>
        <w:spacing w:line="360" w:lineRule="auto"/>
        <w:ind w:leftChars="0" w:firstLineChars="0"/>
        <w:jc w:val="left"/>
        <w:rPr>
          <w:rFonts w:hAnsi="宋体"/>
          <w:sz w:val="24"/>
          <w:szCs w:val="24"/>
        </w:rPr>
      </w:pPr>
      <w:r>
        <w:rPr>
          <w:rFonts w:hint="eastAsia"/>
          <w:sz w:val="24"/>
          <w:szCs w:val="24"/>
        </w:rPr>
        <w:t>认证申请方已与</w:t>
      </w:r>
      <w:r>
        <w:rPr>
          <w:rFonts w:hint="eastAsia"/>
          <w:sz w:val="24"/>
          <w:szCs w:val="24"/>
          <w:lang w:eastAsia="zh-CN"/>
        </w:rPr>
        <w:t>WLGJ</w:t>
      </w:r>
      <w:r>
        <w:rPr>
          <w:rFonts w:hint="eastAsia"/>
          <w:sz w:val="24"/>
          <w:szCs w:val="24"/>
        </w:rPr>
        <w:t>签署认证合同，承诺始终遵守认证的有关规定，并按照认证合同规定缴纳认证费用。</w:t>
      </w:r>
    </w:p>
    <w:p>
      <w:pPr>
        <w:pStyle w:val="5"/>
        <w:spacing w:line="360" w:lineRule="auto"/>
        <w:ind w:left="0" w:leftChars="0" w:firstLine="480" w:firstLineChars="200"/>
        <w:jc w:val="left"/>
        <w:rPr>
          <w:rFonts w:hAnsi="宋体"/>
          <w:sz w:val="24"/>
          <w:szCs w:val="24"/>
        </w:rPr>
      </w:pPr>
      <w:r>
        <w:rPr>
          <w:rFonts w:hint="eastAsia" w:hAnsi="宋体"/>
          <w:sz w:val="24"/>
          <w:szCs w:val="24"/>
        </w:rPr>
        <w:t>对于以下不符合，</w:t>
      </w:r>
      <w:r>
        <w:rPr>
          <w:rFonts w:hint="eastAsia" w:hAnsi="宋体"/>
          <w:sz w:val="24"/>
          <w:szCs w:val="24"/>
          <w:lang w:eastAsia="zh-CN"/>
        </w:rPr>
        <w:t>WLGJ</w:t>
      </w:r>
      <w:r>
        <w:rPr>
          <w:rFonts w:hint="eastAsia" w:hAnsi="宋体"/>
          <w:sz w:val="24"/>
          <w:szCs w:val="24"/>
        </w:rPr>
        <w:t>将评审、接受并证实了纠正和纠正措施的有效性后方可批准认证：</w:t>
      </w:r>
    </w:p>
    <w:p>
      <w:pPr>
        <w:pStyle w:val="5"/>
        <w:numPr>
          <w:ilvl w:val="0"/>
          <w:numId w:val="10"/>
        </w:numPr>
        <w:spacing w:line="360" w:lineRule="auto"/>
        <w:ind w:leftChars="0" w:firstLineChars="0"/>
        <w:jc w:val="left"/>
        <w:rPr>
          <w:rFonts w:hAnsi="宋体"/>
          <w:sz w:val="24"/>
          <w:szCs w:val="24"/>
        </w:rPr>
      </w:pPr>
      <w:r>
        <w:rPr>
          <w:rFonts w:hint="eastAsia" w:hAnsi="宋体"/>
          <w:sz w:val="24"/>
          <w:szCs w:val="24"/>
        </w:rPr>
        <w:t>未能满足管理体系标准的一项或多项要求；</w:t>
      </w:r>
    </w:p>
    <w:p>
      <w:pPr>
        <w:pStyle w:val="5"/>
        <w:numPr>
          <w:ilvl w:val="0"/>
          <w:numId w:val="10"/>
        </w:numPr>
        <w:spacing w:line="360" w:lineRule="auto"/>
        <w:ind w:leftChars="0" w:firstLineChars="0"/>
        <w:jc w:val="left"/>
        <w:rPr>
          <w:sz w:val="24"/>
          <w:szCs w:val="24"/>
        </w:rPr>
      </w:pPr>
      <w:r>
        <w:rPr>
          <w:rFonts w:hint="eastAsia"/>
          <w:sz w:val="24"/>
          <w:szCs w:val="24"/>
        </w:rPr>
        <w:t>使相关方对</w:t>
      </w:r>
      <w:r>
        <w:rPr>
          <w:rFonts w:hint="eastAsia" w:hAnsi="宋体"/>
          <w:sz w:val="24"/>
          <w:szCs w:val="24"/>
        </w:rPr>
        <w:t>受审核方</w:t>
      </w:r>
      <w:r>
        <w:rPr>
          <w:rFonts w:hint="eastAsia"/>
          <w:sz w:val="24"/>
          <w:szCs w:val="24"/>
        </w:rPr>
        <w:t>管理体系实现预期结果的能力产生重大怀疑的情况。</w:t>
      </w:r>
    </w:p>
    <w:p>
      <w:pPr>
        <w:pStyle w:val="5"/>
        <w:spacing w:line="360" w:lineRule="auto"/>
        <w:ind w:left="0" w:leftChars="0" w:firstLine="480" w:firstLineChars="200"/>
        <w:jc w:val="left"/>
        <w:rPr>
          <w:rFonts w:hAnsi="宋体"/>
          <w:sz w:val="24"/>
          <w:szCs w:val="24"/>
        </w:rPr>
      </w:pPr>
      <w:r>
        <w:rPr>
          <w:rFonts w:hint="eastAsia" w:hAnsi="宋体"/>
          <w:sz w:val="24"/>
          <w:szCs w:val="24"/>
        </w:rPr>
        <w:t>对于任何其他不符合，</w:t>
      </w:r>
      <w:r>
        <w:rPr>
          <w:rFonts w:hint="eastAsia" w:hAnsi="宋体"/>
          <w:sz w:val="24"/>
          <w:szCs w:val="24"/>
          <w:lang w:eastAsia="zh-CN"/>
        </w:rPr>
        <w:t>WLGJ</w:t>
      </w:r>
      <w:r>
        <w:rPr>
          <w:rFonts w:hint="eastAsia" w:hAnsi="宋体"/>
          <w:sz w:val="24"/>
          <w:szCs w:val="24"/>
        </w:rPr>
        <w:t>将评审并接受了受审核方采取的纠正和纠正措施的计划方可批准认证</w:t>
      </w:r>
      <w:r>
        <w:rPr>
          <w:rFonts w:hint="eastAsia"/>
          <w:sz w:val="24"/>
          <w:szCs w:val="24"/>
        </w:rPr>
        <w:t>。</w:t>
      </w:r>
    </w:p>
    <w:p>
      <w:pPr>
        <w:numPr>
          <w:ilvl w:val="2"/>
          <w:numId w:val="11"/>
        </w:numPr>
        <w:spacing w:line="360" w:lineRule="auto"/>
        <w:rPr>
          <w:rFonts w:ascii="宋体" w:hAnsi="宋体"/>
          <w:b/>
          <w:bCs/>
          <w:sz w:val="24"/>
        </w:rPr>
      </w:pPr>
      <w:bookmarkStart w:id="62" w:name="_Toc85103628"/>
      <w:bookmarkStart w:id="63" w:name="_Toc85256283"/>
      <w:bookmarkStart w:id="64" w:name="_Toc85105517"/>
      <w:bookmarkStart w:id="65" w:name="_Toc85256253"/>
      <w:r>
        <w:rPr>
          <w:rFonts w:hint="eastAsia" w:ascii="宋体" w:hAnsi="宋体"/>
          <w:b/>
          <w:bCs/>
          <w:sz w:val="24"/>
        </w:rPr>
        <w:t>批准</w:t>
      </w:r>
      <w:bookmarkEnd w:id="62"/>
      <w:bookmarkEnd w:id="63"/>
      <w:bookmarkEnd w:id="64"/>
      <w:bookmarkEnd w:id="65"/>
      <w:r>
        <w:rPr>
          <w:rFonts w:hint="eastAsia" w:ascii="宋体" w:hAnsi="宋体"/>
          <w:b/>
          <w:bCs/>
          <w:sz w:val="24"/>
        </w:rPr>
        <w:t>认证的程序</w:t>
      </w:r>
    </w:p>
    <w:p>
      <w:pPr>
        <w:tabs>
          <w:tab w:val="left" w:pos="180"/>
          <w:tab w:val="left" w:pos="360"/>
          <w:tab w:val="left" w:pos="540"/>
          <w:tab w:val="left" w:pos="900"/>
        </w:tabs>
        <w:spacing w:line="360" w:lineRule="auto"/>
        <w:ind w:left="420"/>
        <w:rPr>
          <w:rFonts w:ascii="宋体" w:hAnsi="宋体"/>
          <w:sz w:val="24"/>
        </w:rPr>
      </w:pPr>
      <w:r>
        <w:rPr>
          <w:rFonts w:hint="eastAsia" w:ascii="宋体" w:hAnsi="宋体"/>
          <w:sz w:val="24"/>
        </w:rPr>
        <w:t>批准认证的程序为：</w:t>
      </w:r>
    </w:p>
    <w:p>
      <w:pPr>
        <w:numPr>
          <w:ilvl w:val="0"/>
          <w:numId w:val="12"/>
        </w:numPr>
        <w:tabs>
          <w:tab w:val="left" w:pos="180"/>
          <w:tab w:val="left" w:pos="360"/>
          <w:tab w:val="left" w:pos="540"/>
          <w:tab w:val="left" w:pos="900"/>
        </w:tabs>
        <w:spacing w:line="360" w:lineRule="auto"/>
        <w:rPr>
          <w:rFonts w:ascii="宋体" w:hAnsi="宋体"/>
          <w:sz w:val="24"/>
        </w:rPr>
      </w:pPr>
      <w:r>
        <w:rPr>
          <w:rFonts w:hint="eastAsia" w:ascii="宋体" w:hAnsi="宋体"/>
          <w:sz w:val="24"/>
        </w:rPr>
        <w:t>满足8.1.1批准认证资格的条件，经</w:t>
      </w:r>
      <w:r>
        <w:rPr>
          <w:rFonts w:hint="eastAsia" w:ascii="宋体" w:hAnsi="宋体"/>
          <w:sz w:val="24"/>
          <w:lang w:eastAsia="zh-CN"/>
        </w:rPr>
        <w:t>WLGJ</w:t>
      </w:r>
      <w:r>
        <w:rPr>
          <w:rFonts w:hint="eastAsia" w:ascii="宋体" w:hAnsi="宋体"/>
          <w:sz w:val="24"/>
        </w:rPr>
        <w:t>审定，认为认证申请方在认证范围内已满足批准认证资格的条件，同意批准认证、签发认证证书；</w:t>
      </w:r>
    </w:p>
    <w:p>
      <w:pPr>
        <w:numPr>
          <w:ilvl w:val="0"/>
          <w:numId w:val="12"/>
        </w:numPr>
        <w:tabs>
          <w:tab w:val="left" w:pos="180"/>
          <w:tab w:val="left" w:pos="360"/>
          <w:tab w:val="left" w:pos="540"/>
          <w:tab w:val="left" w:pos="900"/>
        </w:tabs>
        <w:spacing w:line="360" w:lineRule="auto"/>
        <w:rPr>
          <w:rFonts w:ascii="宋体" w:hAnsi="宋体"/>
          <w:sz w:val="24"/>
        </w:rPr>
      </w:pPr>
      <w:r>
        <w:rPr>
          <w:rFonts w:hint="eastAsia" w:ascii="宋体" w:hAnsi="宋体"/>
          <w:sz w:val="24"/>
          <w:lang w:eastAsia="zh-CN"/>
        </w:rPr>
        <w:t>WLGJ</w:t>
      </w:r>
      <w:r>
        <w:rPr>
          <w:rFonts w:hint="eastAsia" w:ascii="宋体" w:hAnsi="宋体"/>
          <w:sz w:val="24"/>
        </w:rPr>
        <w:t>向认证申请方颁发认证证书。</w:t>
      </w:r>
    </w:p>
    <w:p>
      <w:pPr>
        <w:pStyle w:val="3"/>
      </w:pPr>
      <w:bookmarkStart w:id="66" w:name="_Toc475693145"/>
      <w:bookmarkStart w:id="67" w:name="_Toc85103629"/>
      <w:bookmarkStart w:id="68" w:name="_Toc85105518"/>
      <w:bookmarkStart w:id="69" w:name="_Toc85256254"/>
      <w:bookmarkStart w:id="70" w:name="_Toc85256284"/>
      <w:r>
        <w:rPr>
          <w:rFonts w:hint="eastAsia"/>
        </w:rPr>
        <w:t>8.2 保持认证资格的条件和程序</w:t>
      </w:r>
      <w:bookmarkEnd w:id="66"/>
    </w:p>
    <w:p>
      <w:pPr>
        <w:pStyle w:val="4"/>
      </w:pPr>
      <w:r>
        <w:rPr>
          <w:rFonts w:hint="eastAsia"/>
        </w:rPr>
        <w:t>8.2.1 保持认证资格的条件</w:t>
      </w:r>
      <w:bookmarkEnd w:id="67"/>
      <w:bookmarkEnd w:id="68"/>
      <w:bookmarkEnd w:id="69"/>
      <w:bookmarkEnd w:id="70"/>
    </w:p>
    <w:p>
      <w:pPr>
        <w:numPr>
          <w:ilvl w:val="0"/>
          <w:numId w:val="13"/>
        </w:numPr>
        <w:spacing w:line="360" w:lineRule="auto"/>
        <w:jc w:val="left"/>
        <w:rPr>
          <w:rFonts w:ascii="宋体" w:hAnsi="宋体"/>
          <w:sz w:val="24"/>
        </w:rPr>
      </w:pPr>
      <w:r>
        <w:rPr>
          <w:rFonts w:hint="eastAsia" w:ascii="宋体" w:hAnsi="宋体"/>
          <w:sz w:val="24"/>
        </w:rPr>
        <w:t>获证组织的法律地位、资质持续符合国家的最新要求，并且认证范围在法律地位文件和资质规定的范围内；</w:t>
      </w:r>
    </w:p>
    <w:p>
      <w:pPr>
        <w:numPr>
          <w:ilvl w:val="0"/>
          <w:numId w:val="13"/>
        </w:numPr>
        <w:spacing w:line="360" w:lineRule="auto"/>
        <w:jc w:val="left"/>
        <w:rPr>
          <w:rFonts w:ascii="宋体" w:hAnsi="宋体"/>
          <w:sz w:val="24"/>
        </w:rPr>
      </w:pPr>
      <w:r>
        <w:rPr>
          <w:rFonts w:hint="eastAsia" w:ascii="宋体" w:hAnsi="宋体"/>
          <w:sz w:val="24"/>
        </w:rPr>
        <w:t>获证组织的HSE管理体系持续符合2.2要求；</w:t>
      </w:r>
    </w:p>
    <w:p>
      <w:pPr>
        <w:numPr>
          <w:ilvl w:val="0"/>
          <w:numId w:val="13"/>
        </w:numPr>
        <w:spacing w:line="360" w:lineRule="auto"/>
        <w:jc w:val="left"/>
        <w:rPr>
          <w:rFonts w:ascii="宋体" w:hAnsi="宋体"/>
          <w:sz w:val="24"/>
        </w:rPr>
      </w:pPr>
      <w:r>
        <w:rPr>
          <w:rFonts w:hint="eastAsia" w:ascii="宋体" w:hAnsi="宋体"/>
          <w:sz w:val="24"/>
        </w:rPr>
        <w:t>获证组织持续遵守认证有关的规定，包括变更的规定；</w:t>
      </w:r>
    </w:p>
    <w:p>
      <w:pPr>
        <w:numPr>
          <w:ilvl w:val="0"/>
          <w:numId w:val="13"/>
        </w:numPr>
        <w:spacing w:line="360" w:lineRule="auto"/>
        <w:jc w:val="left"/>
        <w:rPr>
          <w:rFonts w:ascii="宋体" w:hAnsi="宋体"/>
          <w:sz w:val="24"/>
        </w:rPr>
      </w:pPr>
      <w:r>
        <w:rPr>
          <w:rFonts w:hint="eastAsia" w:ascii="宋体" w:hAnsi="宋体"/>
          <w:sz w:val="24"/>
        </w:rPr>
        <w:t>获证组织HSE管理体系覆盖区域的活动符合国家和地方有关的法律法规要求；</w:t>
      </w:r>
    </w:p>
    <w:p>
      <w:pPr>
        <w:numPr>
          <w:ilvl w:val="0"/>
          <w:numId w:val="13"/>
        </w:numPr>
        <w:spacing w:line="360" w:lineRule="auto"/>
        <w:jc w:val="left"/>
        <w:rPr>
          <w:rFonts w:ascii="宋体" w:hAnsi="宋体"/>
          <w:sz w:val="24"/>
        </w:rPr>
      </w:pPr>
      <w:r>
        <w:rPr>
          <w:rFonts w:hint="eastAsia" w:ascii="宋体" w:hAnsi="宋体"/>
          <w:sz w:val="24"/>
        </w:rPr>
        <w:t>获证组织在认证范围内的组织单元、产品、服务及其过程和活动持续满足适用的最新法律法规的要求，如发生不满足时及时采取有效的措施；</w:t>
      </w:r>
    </w:p>
    <w:p>
      <w:pPr>
        <w:numPr>
          <w:ilvl w:val="0"/>
          <w:numId w:val="13"/>
        </w:numPr>
        <w:spacing w:line="360" w:lineRule="auto"/>
        <w:jc w:val="left"/>
        <w:rPr>
          <w:rFonts w:ascii="宋体" w:hAnsi="宋体"/>
          <w:sz w:val="24"/>
        </w:rPr>
      </w:pPr>
      <w:r>
        <w:rPr>
          <w:rFonts w:hint="eastAsia" w:ascii="宋体" w:hAnsi="宋体"/>
          <w:sz w:val="24"/>
        </w:rPr>
        <w:t>获证组织于获证期间在认证范围内未发生重大事故；</w:t>
      </w:r>
    </w:p>
    <w:p>
      <w:pPr>
        <w:numPr>
          <w:ilvl w:val="0"/>
          <w:numId w:val="13"/>
        </w:numPr>
        <w:spacing w:line="360" w:lineRule="auto"/>
        <w:jc w:val="left"/>
        <w:rPr>
          <w:rFonts w:ascii="宋体" w:hAnsi="宋体"/>
          <w:sz w:val="24"/>
        </w:rPr>
      </w:pPr>
      <w:r>
        <w:rPr>
          <w:rFonts w:hint="eastAsia" w:ascii="宋体" w:hAnsi="宋体"/>
          <w:sz w:val="24"/>
        </w:rPr>
        <w:t>获证组织在获证期间未发生误用认证证书，如有发生能及时有效地采取纠正和纠正措施，并将误用产生的影响降至最少程度；</w:t>
      </w:r>
    </w:p>
    <w:p>
      <w:pPr>
        <w:numPr>
          <w:ilvl w:val="0"/>
          <w:numId w:val="13"/>
        </w:numPr>
        <w:spacing w:line="360" w:lineRule="auto"/>
        <w:jc w:val="left"/>
        <w:rPr>
          <w:rFonts w:ascii="宋体" w:hAnsi="宋体"/>
          <w:sz w:val="24"/>
        </w:rPr>
      </w:pPr>
      <w:r>
        <w:rPr>
          <w:rFonts w:hint="eastAsia" w:ascii="宋体" w:hAnsi="宋体"/>
          <w:sz w:val="24"/>
        </w:rPr>
        <w:t>获证组织对顾客或相关方的重大投诉和关切能及时有效地处理；</w:t>
      </w:r>
    </w:p>
    <w:p>
      <w:pPr>
        <w:numPr>
          <w:ilvl w:val="0"/>
          <w:numId w:val="13"/>
        </w:numPr>
        <w:spacing w:line="360" w:lineRule="auto"/>
        <w:jc w:val="left"/>
        <w:rPr>
          <w:rFonts w:ascii="宋体" w:hAnsi="宋体"/>
          <w:sz w:val="24"/>
        </w:rPr>
      </w:pPr>
      <w:r>
        <w:rPr>
          <w:rFonts w:hint="eastAsia" w:ascii="宋体" w:hAnsi="宋体"/>
          <w:sz w:val="24"/>
        </w:rPr>
        <w:t>管理评审、内审的时间间隔不超过12个月；</w:t>
      </w:r>
    </w:p>
    <w:p>
      <w:pPr>
        <w:numPr>
          <w:ilvl w:val="0"/>
          <w:numId w:val="13"/>
        </w:numPr>
        <w:spacing w:line="360" w:lineRule="auto"/>
        <w:jc w:val="left"/>
        <w:rPr>
          <w:rFonts w:ascii="宋体" w:hAnsi="宋体"/>
          <w:sz w:val="24"/>
        </w:rPr>
      </w:pPr>
      <w:r>
        <w:rPr>
          <w:rFonts w:hint="eastAsia" w:ascii="宋体" w:hAnsi="宋体"/>
          <w:sz w:val="24"/>
        </w:rPr>
        <w:t>按时接受监督审核；</w:t>
      </w:r>
    </w:p>
    <w:p>
      <w:pPr>
        <w:numPr>
          <w:ilvl w:val="0"/>
          <w:numId w:val="13"/>
        </w:numPr>
        <w:spacing w:line="360" w:lineRule="auto"/>
        <w:jc w:val="left"/>
        <w:rPr>
          <w:rFonts w:ascii="宋体" w:hAnsi="宋体"/>
          <w:sz w:val="24"/>
        </w:rPr>
      </w:pPr>
      <w:r>
        <w:rPr>
          <w:rFonts w:hint="eastAsia" w:ascii="宋体" w:hAnsi="宋体"/>
          <w:sz w:val="24"/>
        </w:rPr>
        <w:t>获证组织能按照要求向</w:t>
      </w:r>
      <w:r>
        <w:rPr>
          <w:rFonts w:hint="eastAsia" w:ascii="宋体" w:hAnsi="宋体"/>
          <w:sz w:val="24"/>
          <w:lang w:eastAsia="zh-CN"/>
        </w:rPr>
        <w:t>WLGJ</w:t>
      </w:r>
      <w:r>
        <w:rPr>
          <w:rFonts w:hint="eastAsia" w:ascii="宋体" w:hAnsi="宋体"/>
          <w:sz w:val="24"/>
        </w:rPr>
        <w:t>通报HSE管理体系和重要过程变更等信息；</w:t>
      </w:r>
    </w:p>
    <w:p>
      <w:pPr>
        <w:numPr>
          <w:ilvl w:val="0"/>
          <w:numId w:val="13"/>
        </w:numPr>
        <w:spacing w:line="360" w:lineRule="auto"/>
        <w:jc w:val="left"/>
        <w:rPr>
          <w:rFonts w:ascii="宋体" w:hAnsi="宋体"/>
          <w:sz w:val="24"/>
        </w:rPr>
      </w:pPr>
      <w:r>
        <w:rPr>
          <w:rFonts w:hint="eastAsia" w:ascii="宋体" w:hAnsi="宋体"/>
          <w:sz w:val="24"/>
        </w:rPr>
        <w:t>获证组织履行与</w:t>
      </w:r>
      <w:r>
        <w:rPr>
          <w:rFonts w:hint="eastAsia" w:ascii="宋体" w:hAnsi="宋体"/>
          <w:sz w:val="24"/>
          <w:lang w:eastAsia="zh-CN"/>
        </w:rPr>
        <w:t>WLGJ</w:t>
      </w:r>
      <w:r>
        <w:rPr>
          <w:rFonts w:hint="eastAsia" w:ascii="宋体" w:hAnsi="宋体"/>
          <w:sz w:val="24"/>
        </w:rPr>
        <w:t>签署认证合同中规定的责任和义务，并按照认证合同规定缴纳评价费用。</w:t>
      </w:r>
    </w:p>
    <w:p>
      <w:pPr>
        <w:pStyle w:val="4"/>
        <w:rPr>
          <w:i/>
          <w:iCs/>
        </w:rPr>
      </w:pPr>
      <w:r>
        <w:rPr>
          <w:rFonts w:hint="eastAsia"/>
        </w:rPr>
        <w:t>8.2.2 保持认证资格的程序</w:t>
      </w:r>
    </w:p>
    <w:p>
      <w:pPr>
        <w:numPr>
          <w:ilvl w:val="0"/>
          <w:numId w:val="14"/>
        </w:numPr>
        <w:spacing w:line="360" w:lineRule="auto"/>
        <w:jc w:val="left"/>
        <w:rPr>
          <w:rFonts w:ascii="宋体" w:hAnsi="宋体"/>
          <w:sz w:val="24"/>
        </w:rPr>
      </w:pPr>
      <w:r>
        <w:rPr>
          <w:rFonts w:hint="eastAsia" w:ascii="宋体" w:hAnsi="宋体"/>
          <w:sz w:val="24"/>
        </w:rPr>
        <w:t>满足8.2.1保持认证资格的条件，监督审核后经</w:t>
      </w:r>
      <w:r>
        <w:rPr>
          <w:rFonts w:hint="eastAsia" w:ascii="宋体" w:hAnsi="宋体"/>
          <w:sz w:val="24"/>
          <w:lang w:eastAsia="zh-CN"/>
        </w:rPr>
        <w:t>WLGJ</w:t>
      </w:r>
      <w:r>
        <w:rPr>
          <w:rFonts w:hint="eastAsia" w:ascii="宋体" w:hAnsi="宋体"/>
          <w:sz w:val="24"/>
        </w:rPr>
        <w:t xml:space="preserve">审核组长确认后，认为获证组织在认证范围内能持续满足保持认证资格的条件，同意保持认证资格，颁发确认证书；  </w:t>
      </w:r>
    </w:p>
    <w:p>
      <w:pPr>
        <w:numPr>
          <w:ilvl w:val="0"/>
          <w:numId w:val="14"/>
        </w:numPr>
        <w:spacing w:line="360" w:lineRule="auto"/>
        <w:jc w:val="left"/>
        <w:rPr>
          <w:rFonts w:ascii="宋体" w:hAnsi="宋体"/>
          <w:sz w:val="24"/>
        </w:rPr>
      </w:pPr>
      <w:r>
        <w:rPr>
          <w:rFonts w:hint="eastAsia" w:ascii="宋体" w:hAnsi="宋体"/>
          <w:sz w:val="24"/>
        </w:rPr>
        <w:t>在认证证书有效期内如有认证要求变更，获证组织接受认证要求变更，并经</w:t>
      </w:r>
      <w:r>
        <w:rPr>
          <w:rFonts w:hint="eastAsia" w:ascii="宋体" w:hAnsi="宋体"/>
          <w:sz w:val="24"/>
          <w:lang w:eastAsia="zh-CN"/>
        </w:rPr>
        <w:t>WLGJ</w:t>
      </w:r>
      <w:r>
        <w:rPr>
          <w:rFonts w:hint="eastAsia" w:ascii="宋体" w:hAnsi="宋体"/>
          <w:sz w:val="24"/>
        </w:rPr>
        <w:t>验证在认证范围内管理体系满足变更的要求</w:t>
      </w:r>
      <w:r>
        <w:rPr>
          <w:rFonts w:ascii="宋体" w:hAnsi="宋体"/>
          <w:sz w:val="24"/>
        </w:rPr>
        <w:t>。</w:t>
      </w:r>
    </w:p>
    <w:p>
      <w:pPr>
        <w:pStyle w:val="3"/>
      </w:pPr>
      <w:bookmarkStart w:id="71" w:name="_Toc475693146"/>
      <w:r>
        <w:rPr>
          <w:rFonts w:hint="eastAsia"/>
        </w:rPr>
        <w:t>8.3 扩大认证范围的条件和程序</w:t>
      </w:r>
      <w:bookmarkEnd w:id="71"/>
    </w:p>
    <w:p>
      <w:pPr>
        <w:pStyle w:val="4"/>
      </w:pPr>
      <w:bookmarkStart w:id="72" w:name="_Toc85103630"/>
      <w:bookmarkStart w:id="73" w:name="_Toc85105519"/>
      <w:bookmarkStart w:id="74" w:name="_Toc85256255"/>
      <w:bookmarkStart w:id="75" w:name="_Toc85256285"/>
      <w:r>
        <w:rPr>
          <w:rFonts w:hint="eastAsia"/>
        </w:rPr>
        <w:t>8</w:t>
      </w:r>
      <w:r>
        <w:t>.</w:t>
      </w:r>
      <w:r>
        <w:rPr>
          <w:rFonts w:hint="eastAsia"/>
        </w:rPr>
        <w:t>3.1 扩大认证范围的条件</w:t>
      </w:r>
      <w:bookmarkEnd w:id="72"/>
      <w:bookmarkEnd w:id="73"/>
      <w:bookmarkEnd w:id="74"/>
      <w:bookmarkEnd w:id="75"/>
    </w:p>
    <w:p>
      <w:pPr>
        <w:numPr>
          <w:ilvl w:val="0"/>
          <w:numId w:val="15"/>
        </w:numPr>
        <w:spacing w:line="360" w:lineRule="auto"/>
        <w:jc w:val="left"/>
        <w:rPr>
          <w:rFonts w:ascii="宋体" w:hAnsi="宋体"/>
          <w:sz w:val="24"/>
        </w:rPr>
      </w:pPr>
      <w:r>
        <w:rPr>
          <w:rFonts w:hint="eastAsia" w:ascii="宋体" w:hAnsi="宋体"/>
          <w:sz w:val="24"/>
        </w:rPr>
        <w:t>获证组织保持认证资格有效。</w:t>
      </w:r>
    </w:p>
    <w:p>
      <w:pPr>
        <w:numPr>
          <w:ilvl w:val="0"/>
          <w:numId w:val="15"/>
        </w:numPr>
        <w:spacing w:line="360" w:lineRule="auto"/>
        <w:jc w:val="left"/>
        <w:rPr>
          <w:rFonts w:ascii="宋体" w:hAnsi="宋体"/>
          <w:sz w:val="24"/>
        </w:rPr>
      </w:pPr>
      <w:r>
        <w:rPr>
          <w:rFonts w:hint="eastAsia" w:ascii="宋体" w:hAnsi="宋体"/>
          <w:sz w:val="24"/>
        </w:rPr>
        <w:t>国家或地方或行业有要求时，获证组织在扩大认证范围内具有规定的资质；</w:t>
      </w:r>
    </w:p>
    <w:p>
      <w:pPr>
        <w:numPr>
          <w:ilvl w:val="0"/>
          <w:numId w:val="15"/>
        </w:numPr>
        <w:spacing w:line="360" w:lineRule="auto"/>
        <w:jc w:val="left"/>
        <w:rPr>
          <w:rFonts w:ascii="宋体" w:hAnsi="宋体"/>
          <w:sz w:val="24"/>
        </w:rPr>
      </w:pPr>
      <w:r>
        <w:rPr>
          <w:rFonts w:hint="eastAsia" w:ascii="宋体" w:hAnsi="宋体"/>
          <w:sz w:val="24"/>
        </w:rPr>
        <w:t>获证组织申请扩大认证范围在法律地位文件和资质规定的范围内；</w:t>
      </w:r>
    </w:p>
    <w:p>
      <w:pPr>
        <w:numPr>
          <w:ilvl w:val="0"/>
          <w:numId w:val="15"/>
        </w:numPr>
        <w:spacing w:line="360" w:lineRule="auto"/>
        <w:jc w:val="left"/>
        <w:rPr>
          <w:rFonts w:ascii="宋体" w:hAnsi="宋体"/>
          <w:sz w:val="24"/>
        </w:rPr>
      </w:pPr>
      <w:r>
        <w:rPr>
          <w:rFonts w:hint="eastAsia" w:ascii="宋体" w:hAnsi="宋体"/>
          <w:sz w:val="24"/>
        </w:rPr>
        <w:t>获证组织的HSE管理体系覆盖申请扩大的认证范围，并符合2.2要求；</w:t>
      </w:r>
    </w:p>
    <w:p>
      <w:pPr>
        <w:numPr>
          <w:ilvl w:val="0"/>
          <w:numId w:val="15"/>
        </w:numPr>
        <w:spacing w:line="360" w:lineRule="auto"/>
        <w:jc w:val="left"/>
        <w:rPr>
          <w:rFonts w:ascii="宋体" w:hAnsi="宋体"/>
          <w:sz w:val="24"/>
        </w:rPr>
      </w:pPr>
      <w:r>
        <w:rPr>
          <w:rFonts w:hint="eastAsia" w:ascii="宋体" w:hAnsi="宋体"/>
          <w:sz w:val="24"/>
        </w:rPr>
        <w:t>国家或地方或行业有要求时，获证组织在申请扩大认证范围内的组织单元、产品、服务及其过程和活动已满足适用的法律法规的要求；</w:t>
      </w:r>
    </w:p>
    <w:p>
      <w:pPr>
        <w:numPr>
          <w:ilvl w:val="0"/>
          <w:numId w:val="15"/>
        </w:numPr>
        <w:spacing w:line="360" w:lineRule="auto"/>
        <w:jc w:val="left"/>
        <w:rPr>
          <w:rFonts w:ascii="宋体" w:hAnsi="宋体"/>
          <w:sz w:val="24"/>
        </w:rPr>
      </w:pPr>
      <w:r>
        <w:rPr>
          <w:rFonts w:hint="eastAsia" w:ascii="宋体" w:hAnsi="宋体"/>
          <w:sz w:val="24"/>
        </w:rPr>
        <w:t>获证组织按照认证规定缴纳补充认证费用。</w:t>
      </w:r>
    </w:p>
    <w:p>
      <w:pPr>
        <w:pStyle w:val="4"/>
      </w:pPr>
      <w:r>
        <w:rPr>
          <w:rFonts w:hint="eastAsia"/>
        </w:rPr>
        <w:t>8.3.2扩大认证范围的程序</w:t>
      </w:r>
    </w:p>
    <w:p>
      <w:pPr>
        <w:numPr>
          <w:ilvl w:val="0"/>
          <w:numId w:val="16"/>
        </w:numPr>
        <w:spacing w:line="360" w:lineRule="auto"/>
        <w:jc w:val="left"/>
        <w:rPr>
          <w:rFonts w:ascii="宋体" w:hAnsi="宋体"/>
          <w:sz w:val="24"/>
        </w:rPr>
      </w:pPr>
      <w:r>
        <w:rPr>
          <w:rFonts w:hint="eastAsia" w:ascii="宋体" w:hAnsi="宋体"/>
          <w:sz w:val="24"/>
        </w:rPr>
        <w:t>获证组织向</w:t>
      </w:r>
      <w:r>
        <w:rPr>
          <w:rFonts w:hint="eastAsia" w:ascii="宋体" w:hAnsi="宋体"/>
          <w:sz w:val="24"/>
          <w:lang w:eastAsia="zh-CN"/>
        </w:rPr>
        <w:t>WLGJ</w:t>
      </w:r>
      <w:r>
        <w:rPr>
          <w:rFonts w:hint="eastAsia" w:ascii="宋体" w:hAnsi="宋体"/>
          <w:sz w:val="24"/>
        </w:rPr>
        <w:t>正式提交扩大认证范围的申请和相关附件；</w:t>
      </w:r>
    </w:p>
    <w:p>
      <w:pPr>
        <w:numPr>
          <w:ilvl w:val="0"/>
          <w:numId w:val="16"/>
        </w:numPr>
        <w:spacing w:line="360" w:lineRule="auto"/>
        <w:jc w:val="left"/>
        <w:rPr>
          <w:rFonts w:ascii="宋体" w:hAnsi="宋体"/>
          <w:sz w:val="24"/>
        </w:rPr>
      </w:pPr>
      <w:r>
        <w:rPr>
          <w:rFonts w:hint="eastAsia" w:ascii="宋体" w:hAnsi="宋体"/>
          <w:sz w:val="24"/>
        </w:rPr>
        <w:t>满足8.3.1扩大认证范围的条件，经</w:t>
      </w:r>
      <w:r>
        <w:rPr>
          <w:rFonts w:hint="eastAsia" w:ascii="宋体" w:hAnsi="宋体"/>
          <w:sz w:val="24"/>
          <w:lang w:eastAsia="zh-CN"/>
        </w:rPr>
        <w:t>WLGJ</w:t>
      </w:r>
      <w:r>
        <w:rPr>
          <w:rFonts w:hint="eastAsia" w:ascii="宋体" w:hAnsi="宋体"/>
          <w:sz w:val="24"/>
        </w:rPr>
        <w:t>审核、审定，认为获证组织在申请扩大认证范围内已满足批准认证资格的条件，同意批准扩大认证范围，签署换发认证证书或附件，但认证证书的注册号和有效期保持不变。</w:t>
      </w:r>
    </w:p>
    <w:p>
      <w:pPr>
        <w:pStyle w:val="3"/>
      </w:pPr>
      <w:bookmarkStart w:id="76" w:name="_Toc475693147"/>
      <w:r>
        <w:rPr>
          <w:rFonts w:hint="eastAsia"/>
        </w:rPr>
        <w:t>8.4 缩小认证范围的条件和程序</w:t>
      </w:r>
      <w:bookmarkEnd w:id="76"/>
    </w:p>
    <w:p>
      <w:pPr>
        <w:pStyle w:val="4"/>
      </w:pPr>
      <w:r>
        <w:rPr>
          <w:rFonts w:hint="eastAsia"/>
        </w:rPr>
        <w:t>8</w:t>
      </w:r>
      <w:r>
        <w:t>.</w:t>
      </w:r>
      <w:r>
        <w:rPr>
          <w:rFonts w:hint="eastAsia"/>
        </w:rPr>
        <w:t>4.1 缩小认证范围的条件</w:t>
      </w:r>
    </w:p>
    <w:p>
      <w:pPr>
        <w:numPr>
          <w:ilvl w:val="0"/>
          <w:numId w:val="17"/>
        </w:numPr>
        <w:spacing w:line="360" w:lineRule="auto"/>
        <w:rPr>
          <w:rFonts w:ascii="宋体" w:hAnsi="宋体"/>
          <w:bCs/>
          <w:sz w:val="24"/>
        </w:rPr>
      </w:pPr>
      <w:r>
        <w:rPr>
          <w:rFonts w:hint="eastAsia" w:ascii="宋体" w:hAnsi="宋体"/>
          <w:bCs/>
          <w:sz w:val="24"/>
        </w:rPr>
        <w:t>获证组织的认证范围内部分产品/服务范围、区域等不再继续符合认证标准/规范性文件和其他附加要求；</w:t>
      </w:r>
    </w:p>
    <w:p>
      <w:pPr>
        <w:numPr>
          <w:ilvl w:val="0"/>
          <w:numId w:val="17"/>
        </w:numPr>
        <w:spacing w:line="360" w:lineRule="auto"/>
        <w:rPr>
          <w:rFonts w:ascii="宋体" w:hAnsi="宋体"/>
          <w:bCs/>
          <w:sz w:val="24"/>
        </w:rPr>
      </w:pPr>
      <w:r>
        <w:rPr>
          <w:rFonts w:hint="eastAsia" w:ascii="宋体" w:hAnsi="宋体"/>
          <w:bCs/>
          <w:sz w:val="24"/>
        </w:rPr>
        <w:t>获证组织不愿再继续保持认证范围内的部分产品服务范围、区域等认证资格。</w:t>
      </w:r>
    </w:p>
    <w:p>
      <w:pPr>
        <w:pStyle w:val="4"/>
      </w:pPr>
      <w:r>
        <w:rPr>
          <w:rFonts w:hint="eastAsia"/>
        </w:rPr>
        <w:t>8.4.2 缩小认证范围的程序</w:t>
      </w:r>
    </w:p>
    <w:p>
      <w:pPr>
        <w:numPr>
          <w:ilvl w:val="0"/>
          <w:numId w:val="18"/>
        </w:numPr>
        <w:spacing w:line="360" w:lineRule="auto"/>
        <w:rPr>
          <w:rFonts w:ascii="宋体" w:hAnsi="宋体"/>
          <w:bCs/>
          <w:sz w:val="24"/>
        </w:rPr>
      </w:pPr>
      <w:r>
        <w:rPr>
          <w:rFonts w:hint="eastAsia" w:ascii="宋体" w:hAnsi="宋体"/>
          <w:bCs/>
          <w:sz w:val="24"/>
        </w:rPr>
        <w:t>获证组织向</w:t>
      </w:r>
      <w:r>
        <w:rPr>
          <w:rFonts w:hint="eastAsia" w:ascii="宋体" w:hAnsi="宋体"/>
          <w:bCs/>
          <w:sz w:val="24"/>
          <w:lang w:eastAsia="zh-CN"/>
        </w:rPr>
        <w:t>WLGJ</w:t>
      </w:r>
      <w:r>
        <w:rPr>
          <w:rFonts w:hint="eastAsia" w:ascii="宋体" w:hAnsi="宋体"/>
          <w:bCs/>
          <w:sz w:val="24"/>
        </w:rPr>
        <w:t>正式提交缩小认证范围的申请；或</w:t>
      </w:r>
      <w:r>
        <w:rPr>
          <w:rFonts w:hint="eastAsia" w:ascii="宋体" w:hAnsi="宋体"/>
          <w:bCs/>
          <w:sz w:val="24"/>
          <w:lang w:eastAsia="zh-CN"/>
        </w:rPr>
        <w:t>WLGJ</w:t>
      </w:r>
      <w:r>
        <w:rPr>
          <w:rFonts w:hint="eastAsia" w:ascii="宋体" w:hAnsi="宋体"/>
          <w:bCs/>
          <w:sz w:val="24"/>
        </w:rPr>
        <w:t>审核管理部门提出缩小获证组织认证范围的建议，并提供理由和证据；或</w:t>
      </w:r>
      <w:r>
        <w:rPr>
          <w:rFonts w:hint="eastAsia" w:ascii="宋体" w:hAnsi="宋体"/>
          <w:bCs/>
          <w:sz w:val="24"/>
          <w:lang w:eastAsia="zh-CN"/>
        </w:rPr>
        <w:t>WLGJ</w:t>
      </w:r>
      <w:r>
        <w:rPr>
          <w:rFonts w:hint="eastAsia" w:ascii="宋体" w:hAnsi="宋体"/>
          <w:bCs/>
          <w:sz w:val="24"/>
        </w:rPr>
        <w:t>的审定意见也可作为认证范围缩小的信息来源和理由，此时应取得获证组织的同意；</w:t>
      </w:r>
    </w:p>
    <w:p>
      <w:pPr>
        <w:numPr>
          <w:ilvl w:val="0"/>
          <w:numId w:val="18"/>
        </w:numPr>
        <w:spacing w:line="360" w:lineRule="auto"/>
        <w:rPr>
          <w:rFonts w:ascii="宋体" w:hAnsi="宋体"/>
          <w:bCs/>
          <w:sz w:val="24"/>
        </w:rPr>
      </w:pPr>
      <w:r>
        <w:rPr>
          <w:rFonts w:hint="eastAsia" w:ascii="宋体" w:hAnsi="宋体"/>
          <w:bCs/>
          <w:sz w:val="24"/>
        </w:rPr>
        <w:t>经</w:t>
      </w:r>
      <w:r>
        <w:rPr>
          <w:rFonts w:hint="eastAsia" w:ascii="宋体" w:hAnsi="宋体"/>
          <w:bCs/>
          <w:sz w:val="24"/>
          <w:lang w:eastAsia="zh-CN"/>
        </w:rPr>
        <w:t>WLGJ</w:t>
      </w:r>
      <w:r>
        <w:rPr>
          <w:rFonts w:hint="eastAsia" w:ascii="宋体" w:hAnsi="宋体"/>
          <w:bCs/>
          <w:sz w:val="24"/>
        </w:rPr>
        <w:t>审定，认为获证组织在申请缩小认证范围不会对仍保持的认证范围产生影响，同意批准缩小认证范围，收回原认证证书，总经理签署换发认证证书或附件，但认证证书的注册号和有效期保持不变；</w:t>
      </w:r>
    </w:p>
    <w:p>
      <w:pPr>
        <w:numPr>
          <w:ilvl w:val="0"/>
          <w:numId w:val="18"/>
        </w:numPr>
        <w:spacing w:line="360" w:lineRule="auto"/>
        <w:rPr>
          <w:rFonts w:ascii="宋体" w:hAnsi="宋体"/>
          <w:bCs/>
          <w:sz w:val="24"/>
        </w:rPr>
      </w:pPr>
      <w:r>
        <w:rPr>
          <w:rFonts w:hint="eastAsia" w:ascii="宋体" w:hAnsi="宋体"/>
          <w:bCs/>
          <w:sz w:val="24"/>
        </w:rPr>
        <w:t>需要时，获证组织与</w:t>
      </w:r>
      <w:r>
        <w:rPr>
          <w:rFonts w:hint="eastAsia" w:ascii="宋体" w:hAnsi="宋体"/>
          <w:bCs/>
          <w:sz w:val="24"/>
          <w:lang w:eastAsia="zh-CN"/>
        </w:rPr>
        <w:t>WLGJ</w:t>
      </w:r>
      <w:r>
        <w:rPr>
          <w:rFonts w:hint="eastAsia" w:ascii="宋体" w:hAnsi="宋体"/>
          <w:bCs/>
          <w:sz w:val="24"/>
        </w:rPr>
        <w:t>修订认证合同。</w:t>
      </w:r>
    </w:p>
    <w:p>
      <w:pPr>
        <w:pStyle w:val="3"/>
      </w:pPr>
      <w:bookmarkStart w:id="77" w:name="_Toc85103632"/>
      <w:bookmarkStart w:id="78" w:name="_Toc85105521"/>
      <w:bookmarkStart w:id="79" w:name="_Toc85256257"/>
      <w:bookmarkStart w:id="80" w:name="_Toc85256287"/>
      <w:bookmarkStart w:id="81" w:name="_Toc475693148"/>
      <w:r>
        <w:rPr>
          <w:rFonts w:hint="eastAsia"/>
        </w:rPr>
        <w:t>8.5 暂停认证资格的条件</w:t>
      </w:r>
      <w:bookmarkEnd w:id="77"/>
      <w:bookmarkEnd w:id="78"/>
      <w:bookmarkEnd w:id="79"/>
      <w:bookmarkEnd w:id="80"/>
      <w:r>
        <w:rPr>
          <w:rFonts w:hint="eastAsia"/>
        </w:rPr>
        <w:t>和程序</w:t>
      </w:r>
      <w:bookmarkEnd w:id="81"/>
    </w:p>
    <w:p>
      <w:pPr>
        <w:pStyle w:val="4"/>
      </w:pPr>
      <w:r>
        <w:rPr>
          <w:rFonts w:hint="eastAsia"/>
        </w:rPr>
        <w:t>8.5.1 暂停认证资格的条件</w:t>
      </w:r>
    </w:p>
    <w:p>
      <w:pPr>
        <w:numPr>
          <w:ilvl w:val="0"/>
          <w:numId w:val="19"/>
        </w:numPr>
        <w:spacing w:line="360" w:lineRule="auto"/>
        <w:rPr>
          <w:rFonts w:ascii="宋体" w:hAnsi="宋体"/>
          <w:bCs/>
          <w:sz w:val="24"/>
        </w:rPr>
      </w:pPr>
      <w:r>
        <w:rPr>
          <w:rFonts w:hint="eastAsia" w:ascii="宋体" w:hAnsi="宋体"/>
          <w:bCs/>
          <w:sz w:val="24"/>
        </w:rPr>
        <w:t>获证组织的法律地位、资质不再符合国家的最新要求，或认证范围已不在现行有效的法律地位文件和资质规定的范围内，但仍有可能在短期内符合规定要求的；</w:t>
      </w:r>
    </w:p>
    <w:p>
      <w:pPr>
        <w:numPr>
          <w:ilvl w:val="0"/>
          <w:numId w:val="19"/>
        </w:numPr>
        <w:spacing w:line="360" w:lineRule="auto"/>
        <w:rPr>
          <w:rFonts w:ascii="宋体" w:hAnsi="宋体"/>
          <w:bCs/>
          <w:sz w:val="24"/>
        </w:rPr>
      </w:pPr>
      <w:r>
        <w:rPr>
          <w:rFonts w:hint="eastAsia" w:ascii="宋体" w:hAnsi="宋体"/>
          <w:bCs/>
          <w:sz w:val="24"/>
        </w:rPr>
        <w:t>获证组织未能在规定的期限内接受监督审核的；</w:t>
      </w:r>
    </w:p>
    <w:p>
      <w:pPr>
        <w:numPr>
          <w:ilvl w:val="0"/>
          <w:numId w:val="19"/>
        </w:numPr>
        <w:spacing w:line="360" w:lineRule="auto"/>
        <w:rPr>
          <w:rFonts w:ascii="宋体" w:hAnsi="宋体"/>
          <w:bCs/>
          <w:sz w:val="24"/>
        </w:rPr>
      </w:pPr>
      <w:r>
        <w:rPr>
          <w:rFonts w:hint="eastAsia" w:ascii="宋体" w:hAnsi="宋体"/>
          <w:bCs/>
          <w:sz w:val="24"/>
        </w:rPr>
        <w:t>获证组织在监督审核中发现的不合格未能在规定期限内采取纠正</w:t>
      </w:r>
      <w:r>
        <w:rPr>
          <w:rFonts w:ascii="宋体" w:hAnsi="宋体"/>
          <w:bCs/>
          <w:sz w:val="24"/>
        </w:rPr>
        <w:t>/</w:t>
      </w:r>
      <w:r>
        <w:rPr>
          <w:rFonts w:hint="eastAsia" w:ascii="宋体" w:hAnsi="宋体"/>
          <w:bCs/>
          <w:sz w:val="24"/>
        </w:rPr>
        <w:t>纠正措施或措施无效的；</w:t>
      </w:r>
    </w:p>
    <w:p>
      <w:pPr>
        <w:numPr>
          <w:ilvl w:val="0"/>
          <w:numId w:val="19"/>
        </w:numPr>
        <w:spacing w:line="360" w:lineRule="auto"/>
        <w:rPr>
          <w:rFonts w:ascii="宋体" w:hAnsi="宋体"/>
          <w:bCs/>
          <w:sz w:val="24"/>
        </w:rPr>
      </w:pPr>
      <w:r>
        <w:rPr>
          <w:rFonts w:hint="eastAsia" w:ascii="宋体" w:hAnsi="宋体"/>
          <w:bCs/>
          <w:sz w:val="24"/>
        </w:rPr>
        <w:t>获证组织的</w:t>
      </w:r>
      <w:r>
        <w:rPr>
          <w:rFonts w:ascii="宋体" w:hAnsi="宋体"/>
          <w:bCs/>
          <w:sz w:val="24"/>
        </w:rPr>
        <w:t>HSE</w:t>
      </w:r>
      <w:r>
        <w:rPr>
          <w:rFonts w:hint="eastAsia" w:ascii="宋体" w:hAnsi="宋体"/>
          <w:bCs/>
          <w:sz w:val="24"/>
        </w:rPr>
        <w:t>管理体系发生重大变更，不能持续符合评价标准/规范性文件要求的；</w:t>
      </w:r>
    </w:p>
    <w:p>
      <w:pPr>
        <w:numPr>
          <w:ilvl w:val="0"/>
          <w:numId w:val="19"/>
        </w:numPr>
        <w:spacing w:line="360" w:lineRule="auto"/>
        <w:rPr>
          <w:rFonts w:ascii="宋体" w:hAnsi="宋体"/>
          <w:bCs/>
          <w:sz w:val="24"/>
        </w:rPr>
      </w:pPr>
      <w:r>
        <w:rPr>
          <w:rFonts w:hint="eastAsia" w:ascii="宋体" w:hAnsi="宋体"/>
          <w:bCs/>
          <w:sz w:val="24"/>
        </w:rPr>
        <w:t>获证组织未按照认证要求的变更作出相应调整，或调整不满足变更要求的；</w:t>
      </w:r>
    </w:p>
    <w:p>
      <w:pPr>
        <w:numPr>
          <w:ilvl w:val="0"/>
          <w:numId w:val="19"/>
        </w:numPr>
        <w:spacing w:line="360" w:lineRule="auto"/>
        <w:rPr>
          <w:rFonts w:ascii="宋体" w:hAnsi="宋体"/>
          <w:bCs/>
          <w:sz w:val="24"/>
        </w:rPr>
      </w:pPr>
      <w:r>
        <w:rPr>
          <w:rFonts w:hint="eastAsia" w:ascii="宋体" w:hAnsi="宋体"/>
          <w:bCs/>
          <w:sz w:val="24"/>
        </w:rPr>
        <w:t>获证组织于获证期间在认证范围内发生重大事故，尚未查明原因和采取补救措施的；</w:t>
      </w:r>
    </w:p>
    <w:p>
      <w:pPr>
        <w:numPr>
          <w:ilvl w:val="0"/>
          <w:numId w:val="19"/>
        </w:numPr>
        <w:spacing w:line="360" w:lineRule="auto"/>
        <w:rPr>
          <w:rFonts w:ascii="宋体" w:hAnsi="宋体"/>
          <w:bCs/>
          <w:sz w:val="24"/>
        </w:rPr>
      </w:pPr>
      <w:r>
        <w:rPr>
          <w:rFonts w:hint="eastAsia" w:ascii="宋体" w:hAnsi="宋体"/>
          <w:bCs/>
          <w:sz w:val="24"/>
        </w:rPr>
        <w:t>获证组织在获证期间发生误用认证证书，尚未能及时有效地采取纠正和纠正措施，以将产生的影响降至最少程度的；</w:t>
      </w:r>
    </w:p>
    <w:p>
      <w:pPr>
        <w:numPr>
          <w:ilvl w:val="0"/>
          <w:numId w:val="19"/>
        </w:numPr>
        <w:spacing w:line="360" w:lineRule="auto"/>
        <w:rPr>
          <w:rFonts w:ascii="宋体" w:hAnsi="宋体"/>
          <w:bCs/>
          <w:sz w:val="24"/>
        </w:rPr>
      </w:pPr>
      <w:r>
        <w:rPr>
          <w:rFonts w:hint="eastAsia" w:ascii="宋体" w:hAnsi="宋体"/>
          <w:bCs/>
          <w:sz w:val="24"/>
        </w:rPr>
        <w:t>获证组织对顾客或相关方的重大投诉未有效地处理的；</w:t>
      </w:r>
    </w:p>
    <w:p>
      <w:pPr>
        <w:numPr>
          <w:ilvl w:val="0"/>
          <w:numId w:val="19"/>
        </w:numPr>
        <w:spacing w:line="360" w:lineRule="auto"/>
        <w:rPr>
          <w:rFonts w:ascii="宋体" w:hAnsi="宋体"/>
          <w:bCs/>
          <w:sz w:val="24"/>
        </w:rPr>
      </w:pPr>
      <w:r>
        <w:rPr>
          <w:rFonts w:hint="eastAsia" w:ascii="宋体" w:hAnsi="宋体"/>
          <w:bCs/>
          <w:sz w:val="24"/>
        </w:rPr>
        <w:t>获证组织未履行与</w:t>
      </w:r>
      <w:r>
        <w:rPr>
          <w:rFonts w:hint="eastAsia" w:ascii="宋体" w:hAnsi="宋体"/>
          <w:bCs/>
          <w:sz w:val="24"/>
          <w:lang w:eastAsia="zh-CN"/>
        </w:rPr>
        <w:t>WLGJ</w:t>
      </w:r>
      <w:r>
        <w:rPr>
          <w:rFonts w:hint="eastAsia" w:ascii="宋体" w:hAnsi="宋体"/>
          <w:bCs/>
          <w:sz w:val="24"/>
        </w:rPr>
        <w:t>签署认证合同中规定的责任和义务，并对保持认证资格产生重大影响的，或未按照认证合同规定缴纳认证费用的；</w:t>
      </w:r>
    </w:p>
    <w:p>
      <w:pPr>
        <w:numPr>
          <w:ilvl w:val="0"/>
          <w:numId w:val="19"/>
        </w:numPr>
        <w:spacing w:line="360" w:lineRule="auto"/>
        <w:rPr>
          <w:rFonts w:ascii="宋体" w:hAnsi="宋体"/>
          <w:bCs/>
          <w:sz w:val="24"/>
        </w:rPr>
      </w:pPr>
      <w:r>
        <w:rPr>
          <w:rFonts w:hint="eastAsia" w:ascii="宋体" w:hAnsi="宋体"/>
          <w:bCs/>
          <w:sz w:val="24"/>
        </w:rPr>
        <w:t>获证组织与</w:t>
      </w:r>
      <w:r>
        <w:rPr>
          <w:rFonts w:hint="eastAsia" w:ascii="宋体" w:hAnsi="宋体"/>
          <w:bCs/>
          <w:sz w:val="24"/>
          <w:lang w:eastAsia="zh-CN"/>
        </w:rPr>
        <w:t>WLGJ</w:t>
      </w:r>
      <w:r>
        <w:rPr>
          <w:rFonts w:hint="eastAsia" w:ascii="宋体" w:hAnsi="宋体"/>
          <w:bCs/>
          <w:sz w:val="24"/>
        </w:rPr>
        <w:t>双方同意在一定时间内暂停全部或部分认证范围的认证资格的情况；</w:t>
      </w:r>
    </w:p>
    <w:p>
      <w:pPr>
        <w:numPr>
          <w:ilvl w:val="0"/>
          <w:numId w:val="19"/>
        </w:numPr>
        <w:spacing w:line="360" w:lineRule="auto"/>
        <w:rPr>
          <w:rFonts w:ascii="宋体" w:hAnsi="宋体"/>
          <w:bCs/>
          <w:sz w:val="24"/>
        </w:rPr>
      </w:pPr>
      <w:r>
        <w:rPr>
          <w:rFonts w:hint="eastAsia" w:ascii="宋体" w:hAnsi="宋体"/>
          <w:bCs/>
          <w:sz w:val="24"/>
        </w:rPr>
        <w:t>其他需要暂停认证资格的。</w:t>
      </w:r>
    </w:p>
    <w:p>
      <w:pPr>
        <w:pStyle w:val="4"/>
      </w:pPr>
      <w:r>
        <w:rPr>
          <w:rFonts w:hint="eastAsia"/>
        </w:rPr>
        <w:t>8.5.2 暂停认证资格的程序</w:t>
      </w:r>
    </w:p>
    <w:p>
      <w:pPr>
        <w:numPr>
          <w:ilvl w:val="0"/>
          <w:numId w:val="20"/>
        </w:numPr>
        <w:spacing w:line="360" w:lineRule="auto"/>
        <w:rPr>
          <w:rFonts w:ascii="宋体" w:hAnsi="宋体"/>
          <w:bCs/>
          <w:sz w:val="24"/>
        </w:rPr>
      </w:pPr>
      <w:r>
        <w:rPr>
          <w:rFonts w:hint="eastAsia" w:ascii="宋体" w:hAnsi="宋体"/>
          <w:bCs/>
          <w:sz w:val="24"/>
          <w:lang w:eastAsia="zh-CN"/>
        </w:rPr>
        <w:t>WLGJ</w:t>
      </w:r>
      <w:r>
        <w:rPr>
          <w:rFonts w:hint="eastAsia" w:ascii="宋体" w:hAnsi="宋体"/>
          <w:bCs/>
          <w:sz w:val="24"/>
        </w:rPr>
        <w:t>审核管理部门提出对获证组织暂停全部或部分认证范围内认证资格的建议，并提供理由和证据；</w:t>
      </w:r>
    </w:p>
    <w:p>
      <w:pPr>
        <w:numPr>
          <w:ilvl w:val="0"/>
          <w:numId w:val="20"/>
        </w:numPr>
        <w:spacing w:line="360" w:lineRule="auto"/>
        <w:rPr>
          <w:rFonts w:ascii="宋体" w:hAnsi="宋体"/>
          <w:bCs/>
          <w:sz w:val="24"/>
        </w:rPr>
      </w:pPr>
      <w:r>
        <w:rPr>
          <w:rFonts w:hint="eastAsia" w:ascii="宋体" w:hAnsi="宋体"/>
          <w:bCs/>
          <w:sz w:val="24"/>
        </w:rPr>
        <w:t>必要时，</w:t>
      </w:r>
      <w:r>
        <w:rPr>
          <w:rFonts w:hint="eastAsia" w:ascii="宋体" w:hAnsi="宋体"/>
          <w:bCs/>
          <w:sz w:val="24"/>
          <w:lang w:eastAsia="zh-CN"/>
        </w:rPr>
        <w:t>WLGJ</w:t>
      </w:r>
      <w:r>
        <w:rPr>
          <w:rFonts w:hint="eastAsia" w:ascii="宋体" w:hAnsi="宋体"/>
          <w:bCs/>
          <w:sz w:val="24"/>
        </w:rPr>
        <w:t>审核管理部门与获证组织沟通，核实证据；</w:t>
      </w:r>
    </w:p>
    <w:p>
      <w:pPr>
        <w:numPr>
          <w:ilvl w:val="0"/>
          <w:numId w:val="20"/>
        </w:numPr>
        <w:spacing w:line="360" w:lineRule="auto"/>
        <w:rPr>
          <w:rFonts w:ascii="宋体" w:hAnsi="宋体"/>
          <w:bCs/>
          <w:sz w:val="24"/>
        </w:rPr>
      </w:pPr>
      <w:r>
        <w:rPr>
          <w:rFonts w:hint="eastAsia" w:ascii="宋体" w:hAnsi="宋体"/>
          <w:bCs/>
          <w:sz w:val="24"/>
        </w:rPr>
        <w:t>经</w:t>
      </w:r>
      <w:r>
        <w:rPr>
          <w:rFonts w:hint="eastAsia" w:ascii="宋体" w:hAnsi="宋体"/>
          <w:bCs/>
          <w:sz w:val="24"/>
          <w:lang w:eastAsia="zh-CN"/>
        </w:rPr>
        <w:t>WLGJ</w:t>
      </w:r>
      <w:r>
        <w:rPr>
          <w:rFonts w:hint="eastAsia" w:ascii="宋体" w:hAnsi="宋体"/>
          <w:bCs/>
          <w:sz w:val="24"/>
        </w:rPr>
        <w:t>审定，认为获证组织在认证范围内全部或部分不再持续满足评价要求，但仍然有可能在短期内采取纠正措施的，同意批准暂停全部或部分认证范围的认证资格，并确定暂停期限，最长暂停期限为六个月。</w:t>
      </w:r>
    </w:p>
    <w:p>
      <w:pPr>
        <w:pStyle w:val="3"/>
      </w:pPr>
      <w:bookmarkStart w:id="82" w:name="_Toc85103633"/>
      <w:bookmarkStart w:id="83" w:name="_Toc85105522"/>
      <w:bookmarkStart w:id="84" w:name="_Toc85256258"/>
      <w:bookmarkStart w:id="85" w:name="_Toc85256288"/>
      <w:bookmarkStart w:id="86" w:name="_Toc475693149"/>
      <w:r>
        <w:rPr>
          <w:rFonts w:hint="eastAsia"/>
        </w:rPr>
        <w:t>8.6 恢复认证资格的条件</w:t>
      </w:r>
      <w:bookmarkEnd w:id="82"/>
      <w:bookmarkEnd w:id="83"/>
      <w:bookmarkEnd w:id="84"/>
      <w:bookmarkEnd w:id="85"/>
      <w:r>
        <w:rPr>
          <w:rFonts w:hint="eastAsia"/>
        </w:rPr>
        <w:t>和程序</w:t>
      </w:r>
      <w:bookmarkEnd w:id="86"/>
    </w:p>
    <w:p>
      <w:pPr>
        <w:pStyle w:val="4"/>
      </w:pPr>
      <w:r>
        <w:rPr>
          <w:rFonts w:hint="eastAsia"/>
        </w:rPr>
        <w:t>8.6.1 恢复认证资格的条件</w:t>
      </w:r>
    </w:p>
    <w:bookmarkEnd w:id="50"/>
    <w:bookmarkEnd w:id="51"/>
    <w:bookmarkEnd w:id="52"/>
    <w:bookmarkEnd w:id="53"/>
    <w:bookmarkEnd w:id="54"/>
    <w:bookmarkEnd w:id="55"/>
    <w:bookmarkEnd w:id="56"/>
    <w:p>
      <w:pPr>
        <w:spacing w:line="360" w:lineRule="auto"/>
        <w:ind w:firstLine="540" w:firstLineChars="225"/>
        <w:rPr>
          <w:rFonts w:ascii="宋体" w:hAnsi="宋体"/>
          <w:bCs/>
          <w:sz w:val="24"/>
        </w:rPr>
      </w:pPr>
      <w:bookmarkStart w:id="87" w:name="_Toc85103634"/>
      <w:bookmarkStart w:id="88" w:name="_Toc85105523"/>
      <w:bookmarkStart w:id="89" w:name="_Toc85256259"/>
      <w:bookmarkStart w:id="90" w:name="_Toc85256289"/>
      <w:r>
        <w:rPr>
          <w:rFonts w:hint="eastAsia" w:ascii="宋体" w:hAnsi="宋体"/>
          <w:bCs/>
          <w:sz w:val="24"/>
        </w:rPr>
        <w:t>组织已针对暂停认证资格的原因采取了有效的纠正措施，产生原因已经消除，恢复符合相关的认证要求，同时已证实在暂停期内没有使用引用认证资格，如广告宣传和使用标志。</w:t>
      </w:r>
    </w:p>
    <w:p>
      <w:pPr>
        <w:pStyle w:val="4"/>
      </w:pPr>
      <w:r>
        <w:rPr>
          <w:rFonts w:hint="eastAsia"/>
        </w:rPr>
        <w:t>8.6.2 恢复认证资格的程序</w:t>
      </w:r>
    </w:p>
    <w:p>
      <w:pPr>
        <w:numPr>
          <w:ilvl w:val="0"/>
          <w:numId w:val="21"/>
        </w:numPr>
        <w:spacing w:line="360" w:lineRule="auto"/>
        <w:rPr>
          <w:rFonts w:ascii="宋体" w:hAnsi="宋体"/>
          <w:bCs/>
          <w:sz w:val="24"/>
        </w:rPr>
      </w:pPr>
      <w:r>
        <w:rPr>
          <w:rFonts w:hint="eastAsia" w:ascii="宋体" w:hAnsi="宋体"/>
          <w:bCs/>
          <w:sz w:val="24"/>
        </w:rPr>
        <w:t>在确定的认证资格暂停限期结束前，根据暂停原因，组织在规定期限内向</w:t>
      </w:r>
      <w:r>
        <w:rPr>
          <w:rFonts w:hint="eastAsia" w:ascii="宋体" w:hAnsi="宋体"/>
          <w:bCs/>
          <w:sz w:val="24"/>
          <w:lang w:eastAsia="zh-CN"/>
        </w:rPr>
        <w:t>WLGJ</w:t>
      </w:r>
      <w:r>
        <w:rPr>
          <w:rFonts w:hint="eastAsia" w:ascii="宋体" w:hAnsi="宋体"/>
          <w:bCs/>
          <w:sz w:val="24"/>
        </w:rPr>
        <w:t>审核管理部门提出恢复认证资格的申请，并附相关纠正措施和有效性验证材料；</w:t>
      </w:r>
    </w:p>
    <w:p>
      <w:pPr>
        <w:numPr>
          <w:ilvl w:val="0"/>
          <w:numId w:val="21"/>
        </w:numPr>
        <w:spacing w:line="360" w:lineRule="auto"/>
        <w:rPr>
          <w:rFonts w:ascii="宋体" w:hAnsi="宋体"/>
          <w:bCs/>
          <w:sz w:val="24"/>
        </w:rPr>
      </w:pPr>
      <w:r>
        <w:rPr>
          <w:rFonts w:hint="eastAsia" w:ascii="宋体" w:hAnsi="宋体"/>
          <w:bCs/>
          <w:sz w:val="24"/>
        </w:rPr>
        <w:t>经</w:t>
      </w:r>
      <w:r>
        <w:rPr>
          <w:rFonts w:hint="eastAsia" w:ascii="宋体" w:hAnsi="宋体"/>
          <w:bCs/>
          <w:sz w:val="24"/>
          <w:lang w:eastAsia="zh-CN"/>
        </w:rPr>
        <w:t>WLGJ</w:t>
      </w:r>
      <w:r>
        <w:rPr>
          <w:rFonts w:hint="eastAsia" w:ascii="宋体" w:hAnsi="宋体"/>
          <w:bCs/>
          <w:sz w:val="24"/>
        </w:rPr>
        <w:t>审定，确认组织在暂停认证资格的认证范围内已恢复符合相关的认证要求，作出同意恢复认证资格的审定结论</w:t>
      </w:r>
      <w:r>
        <w:rPr>
          <w:rFonts w:hint="eastAsia" w:ascii="宋体" w:hAnsi="宋体"/>
          <w:sz w:val="24"/>
        </w:rPr>
        <w:t>。</w:t>
      </w:r>
    </w:p>
    <w:bookmarkEnd w:id="87"/>
    <w:bookmarkEnd w:id="88"/>
    <w:bookmarkEnd w:id="89"/>
    <w:bookmarkEnd w:id="90"/>
    <w:p>
      <w:pPr>
        <w:pStyle w:val="3"/>
      </w:pPr>
      <w:bookmarkStart w:id="91" w:name="_Toc85103635"/>
      <w:bookmarkStart w:id="92" w:name="_Toc85105524"/>
      <w:bookmarkStart w:id="93" w:name="_Toc85256260"/>
      <w:bookmarkStart w:id="94" w:name="_Toc85256290"/>
      <w:bookmarkStart w:id="95" w:name="_Toc475693150"/>
      <w:r>
        <w:rPr>
          <w:rFonts w:hint="eastAsia"/>
        </w:rPr>
        <w:t>8.7 撤消认证资格的条件</w:t>
      </w:r>
      <w:bookmarkEnd w:id="91"/>
      <w:bookmarkEnd w:id="92"/>
      <w:bookmarkEnd w:id="93"/>
      <w:bookmarkEnd w:id="94"/>
      <w:r>
        <w:rPr>
          <w:rFonts w:hint="eastAsia"/>
        </w:rPr>
        <w:t>和程序</w:t>
      </w:r>
      <w:bookmarkEnd w:id="95"/>
    </w:p>
    <w:p>
      <w:pPr>
        <w:pStyle w:val="4"/>
      </w:pPr>
      <w:r>
        <w:rPr>
          <w:rFonts w:hint="eastAsia"/>
        </w:rPr>
        <w:t>8.7.1 撤消认证资格的条件</w:t>
      </w:r>
    </w:p>
    <w:p>
      <w:pPr>
        <w:numPr>
          <w:ilvl w:val="0"/>
          <w:numId w:val="22"/>
        </w:numPr>
        <w:spacing w:line="360" w:lineRule="auto"/>
        <w:rPr>
          <w:rFonts w:ascii="宋体" w:hAnsi="宋体"/>
          <w:bCs/>
          <w:sz w:val="24"/>
        </w:rPr>
      </w:pPr>
      <w:r>
        <w:rPr>
          <w:rFonts w:hint="eastAsia" w:ascii="宋体" w:hAnsi="宋体"/>
          <w:bCs/>
          <w:sz w:val="24"/>
        </w:rPr>
        <w:t>获证组织的法律地位、资质不再符合国家的最新要求，或认证范围已不在现行有效的法律地位文件和资质规定的范围内，并在短期内无法符合规定要求的；</w:t>
      </w:r>
    </w:p>
    <w:p>
      <w:pPr>
        <w:numPr>
          <w:ilvl w:val="0"/>
          <w:numId w:val="22"/>
        </w:numPr>
        <w:spacing w:line="360" w:lineRule="auto"/>
        <w:rPr>
          <w:rFonts w:ascii="宋体" w:hAnsi="宋体"/>
          <w:bCs/>
          <w:sz w:val="24"/>
        </w:rPr>
      </w:pPr>
      <w:r>
        <w:rPr>
          <w:rFonts w:hint="eastAsia" w:ascii="宋体" w:hAnsi="宋体"/>
          <w:bCs/>
          <w:sz w:val="24"/>
        </w:rPr>
        <w:t>获证组织在认证范围内的HSE管理体系发生重大变更，未向</w:t>
      </w:r>
      <w:r>
        <w:rPr>
          <w:rFonts w:hint="eastAsia" w:ascii="宋体" w:hAnsi="宋体"/>
          <w:bCs/>
          <w:sz w:val="24"/>
          <w:lang w:eastAsia="zh-CN"/>
        </w:rPr>
        <w:t>WLGJ</w:t>
      </w:r>
      <w:r>
        <w:rPr>
          <w:rFonts w:hint="eastAsia" w:ascii="宋体" w:hAnsi="宋体"/>
          <w:bCs/>
          <w:sz w:val="24"/>
        </w:rPr>
        <w:t>通报，并在短期内无法满足认证要求的；</w:t>
      </w:r>
    </w:p>
    <w:p>
      <w:pPr>
        <w:numPr>
          <w:ilvl w:val="0"/>
          <w:numId w:val="22"/>
        </w:numPr>
        <w:spacing w:line="360" w:lineRule="auto"/>
        <w:rPr>
          <w:rFonts w:ascii="宋体" w:hAnsi="宋体"/>
          <w:bCs/>
          <w:sz w:val="24"/>
        </w:rPr>
      </w:pPr>
      <w:r>
        <w:rPr>
          <w:rFonts w:hint="eastAsia" w:ascii="宋体" w:hAnsi="宋体"/>
          <w:bCs/>
          <w:sz w:val="24"/>
        </w:rPr>
        <w:t>获证组织体制变更后原HSE管理体系已不再适宜的；</w:t>
      </w:r>
    </w:p>
    <w:p>
      <w:pPr>
        <w:numPr>
          <w:ilvl w:val="0"/>
          <w:numId w:val="22"/>
        </w:numPr>
        <w:spacing w:line="360" w:lineRule="auto"/>
        <w:rPr>
          <w:rFonts w:ascii="宋体" w:hAnsi="宋体"/>
          <w:bCs/>
          <w:sz w:val="24"/>
        </w:rPr>
      </w:pPr>
      <w:r>
        <w:rPr>
          <w:rFonts w:hint="eastAsia" w:ascii="宋体" w:hAnsi="宋体"/>
          <w:bCs/>
          <w:sz w:val="24"/>
        </w:rPr>
        <w:t>获证组织在认证范围内的组织单元、产品、服务及其过程和活动严重不能满足适用的最新法律法规的要求，并在短期内无法采取措施或采取措施无效的；</w:t>
      </w:r>
    </w:p>
    <w:p>
      <w:pPr>
        <w:numPr>
          <w:ilvl w:val="0"/>
          <w:numId w:val="22"/>
        </w:numPr>
        <w:spacing w:line="360" w:lineRule="auto"/>
        <w:rPr>
          <w:rFonts w:ascii="宋体" w:hAnsi="宋体"/>
          <w:bCs/>
          <w:sz w:val="24"/>
        </w:rPr>
      </w:pPr>
      <w:r>
        <w:rPr>
          <w:rFonts w:hint="eastAsia" w:ascii="宋体" w:hAnsi="宋体"/>
          <w:bCs/>
          <w:sz w:val="24"/>
        </w:rPr>
        <w:t>获证组织于获证期间在认证范围内发生重大事故；</w:t>
      </w:r>
    </w:p>
    <w:p>
      <w:pPr>
        <w:numPr>
          <w:ilvl w:val="0"/>
          <w:numId w:val="22"/>
        </w:numPr>
        <w:spacing w:line="360" w:lineRule="auto"/>
        <w:rPr>
          <w:rFonts w:ascii="宋体" w:hAnsi="宋体"/>
          <w:bCs/>
          <w:sz w:val="24"/>
        </w:rPr>
      </w:pPr>
      <w:r>
        <w:rPr>
          <w:rFonts w:hint="eastAsia" w:ascii="宋体" w:hAnsi="宋体"/>
          <w:bCs/>
          <w:sz w:val="24"/>
        </w:rPr>
        <w:t>获证组织在获证期间发生大量误用认证证书，并未能及时有效地采取纠正和纠正措施，造成严重影响的；</w:t>
      </w:r>
    </w:p>
    <w:p>
      <w:pPr>
        <w:numPr>
          <w:ilvl w:val="0"/>
          <w:numId w:val="22"/>
        </w:numPr>
        <w:spacing w:line="360" w:lineRule="auto"/>
        <w:rPr>
          <w:rFonts w:ascii="宋体" w:hAnsi="宋体"/>
          <w:bCs/>
          <w:sz w:val="24"/>
        </w:rPr>
      </w:pPr>
      <w:r>
        <w:rPr>
          <w:rFonts w:hint="eastAsia" w:ascii="宋体" w:hAnsi="宋体"/>
          <w:bCs/>
          <w:sz w:val="24"/>
        </w:rPr>
        <w:t>获证组织对顾客或相关方的重大投诉不做处理的；</w:t>
      </w:r>
    </w:p>
    <w:p>
      <w:pPr>
        <w:numPr>
          <w:ilvl w:val="0"/>
          <w:numId w:val="22"/>
        </w:numPr>
        <w:spacing w:line="360" w:lineRule="auto"/>
        <w:rPr>
          <w:rFonts w:ascii="宋体" w:hAnsi="宋体"/>
          <w:bCs/>
          <w:sz w:val="24"/>
        </w:rPr>
      </w:pPr>
      <w:r>
        <w:rPr>
          <w:rFonts w:hint="eastAsia" w:ascii="宋体" w:hAnsi="宋体"/>
          <w:bCs/>
          <w:sz w:val="24"/>
        </w:rPr>
        <w:t>获证组织单方面宣布不履行与</w:t>
      </w:r>
      <w:r>
        <w:rPr>
          <w:rFonts w:hint="eastAsia" w:ascii="宋体" w:hAnsi="宋体"/>
          <w:bCs/>
          <w:sz w:val="24"/>
          <w:lang w:eastAsia="zh-CN"/>
        </w:rPr>
        <w:t>WLGJ</w:t>
      </w:r>
      <w:r>
        <w:rPr>
          <w:rFonts w:hint="eastAsia" w:ascii="宋体" w:hAnsi="宋体"/>
          <w:bCs/>
          <w:sz w:val="24"/>
        </w:rPr>
        <w:t>签署认证合同中规定的责任和义务的，或拖缴评价费用，并催缴无效的；</w:t>
      </w:r>
    </w:p>
    <w:p>
      <w:pPr>
        <w:numPr>
          <w:ilvl w:val="0"/>
          <w:numId w:val="22"/>
        </w:numPr>
        <w:spacing w:line="360" w:lineRule="auto"/>
        <w:rPr>
          <w:rFonts w:ascii="宋体" w:hAnsi="宋体"/>
          <w:bCs/>
          <w:sz w:val="24"/>
        </w:rPr>
      </w:pPr>
      <w:r>
        <w:rPr>
          <w:rFonts w:hint="eastAsia" w:ascii="宋体" w:hAnsi="宋体"/>
          <w:bCs/>
          <w:sz w:val="24"/>
        </w:rPr>
        <w:t>获证组织转让认证证书的；</w:t>
      </w:r>
    </w:p>
    <w:p>
      <w:pPr>
        <w:numPr>
          <w:ilvl w:val="0"/>
          <w:numId w:val="22"/>
        </w:numPr>
        <w:spacing w:line="360" w:lineRule="auto"/>
        <w:rPr>
          <w:rFonts w:ascii="宋体" w:hAnsi="宋体"/>
          <w:bCs/>
          <w:sz w:val="24"/>
        </w:rPr>
      </w:pPr>
      <w:r>
        <w:rPr>
          <w:rFonts w:hint="eastAsia" w:ascii="宋体" w:hAnsi="宋体"/>
          <w:bCs/>
          <w:sz w:val="24"/>
        </w:rPr>
        <w:t>获证组织被暂停认证资格后，未能在规定的期限内采取有效的纠正措施，或未申请恢复认证资格的；</w:t>
      </w:r>
    </w:p>
    <w:p>
      <w:pPr>
        <w:numPr>
          <w:ilvl w:val="0"/>
          <w:numId w:val="22"/>
        </w:numPr>
        <w:spacing w:line="360" w:lineRule="auto"/>
        <w:rPr>
          <w:rFonts w:ascii="宋体" w:hAnsi="宋体"/>
          <w:bCs/>
          <w:sz w:val="24"/>
        </w:rPr>
      </w:pPr>
      <w:r>
        <w:rPr>
          <w:rFonts w:hint="eastAsia" w:ascii="宋体" w:hAnsi="宋体"/>
          <w:bCs/>
          <w:sz w:val="24"/>
        </w:rPr>
        <w:t>获证组织自愿申请撤销认证资格的；</w:t>
      </w:r>
    </w:p>
    <w:p>
      <w:pPr>
        <w:numPr>
          <w:ilvl w:val="0"/>
          <w:numId w:val="22"/>
        </w:numPr>
        <w:spacing w:line="360" w:lineRule="auto"/>
        <w:rPr>
          <w:rFonts w:ascii="宋体" w:hAnsi="宋体"/>
          <w:bCs/>
          <w:sz w:val="24"/>
        </w:rPr>
      </w:pPr>
      <w:r>
        <w:rPr>
          <w:rFonts w:hint="eastAsia" w:ascii="宋体" w:hAnsi="宋体"/>
          <w:bCs/>
          <w:sz w:val="24"/>
        </w:rPr>
        <w:t>其他需要撤销认证资格的情况。</w:t>
      </w:r>
    </w:p>
    <w:p>
      <w:pPr>
        <w:pStyle w:val="4"/>
      </w:pPr>
      <w:r>
        <w:rPr>
          <w:rFonts w:hint="eastAsia"/>
        </w:rPr>
        <w:t>8.7.2 撤消评价资格的程序</w:t>
      </w:r>
    </w:p>
    <w:p>
      <w:pPr>
        <w:numPr>
          <w:ilvl w:val="0"/>
          <w:numId w:val="23"/>
        </w:numPr>
        <w:spacing w:line="360" w:lineRule="auto"/>
        <w:rPr>
          <w:rFonts w:ascii="宋体" w:hAnsi="宋体"/>
          <w:bCs/>
          <w:sz w:val="24"/>
        </w:rPr>
      </w:pPr>
      <w:r>
        <w:rPr>
          <w:rFonts w:hint="eastAsia" w:ascii="宋体" w:hAnsi="宋体"/>
          <w:bCs/>
          <w:sz w:val="24"/>
        </w:rPr>
        <w:t>经</w:t>
      </w:r>
      <w:r>
        <w:rPr>
          <w:rFonts w:hint="eastAsia" w:ascii="宋体" w:hAnsi="宋体"/>
          <w:bCs/>
          <w:sz w:val="24"/>
          <w:lang w:eastAsia="zh-CN"/>
        </w:rPr>
        <w:t>WLGJ</w:t>
      </w:r>
      <w:r>
        <w:rPr>
          <w:rFonts w:hint="eastAsia" w:ascii="宋体" w:hAnsi="宋体"/>
          <w:bCs/>
          <w:sz w:val="24"/>
        </w:rPr>
        <w:t>核实与审定，确认组织在认证范围内的管理体系不再满足认证要求，作出同意撤销认证资格的审定结论；</w:t>
      </w:r>
    </w:p>
    <w:p>
      <w:pPr>
        <w:numPr>
          <w:ilvl w:val="0"/>
          <w:numId w:val="23"/>
        </w:numPr>
        <w:spacing w:line="360" w:lineRule="auto"/>
        <w:rPr>
          <w:rFonts w:ascii="宋体" w:hAnsi="宋体"/>
          <w:bCs/>
          <w:sz w:val="24"/>
        </w:rPr>
      </w:pPr>
      <w:r>
        <w:rPr>
          <w:rFonts w:hint="eastAsia" w:ascii="宋体" w:hAnsi="宋体"/>
          <w:bCs/>
          <w:sz w:val="24"/>
          <w:lang w:eastAsia="zh-CN"/>
        </w:rPr>
        <w:t>WLGJ</w:t>
      </w:r>
      <w:r>
        <w:rPr>
          <w:rFonts w:hint="eastAsia" w:ascii="宋体" w:hAnsi="宋体"/>
          <w:bCs/>
          <w:sz w:val="24"/>
        </w:rPr>
        <w:t>收回认证证书，通知组织不得再使用认证证书。</w:t>
      </w:r>
    </w:p>
    <w:p>
      <w:pPr>
        <w:pStyle w:val="2"/>
        <w:spacing w:line="360" w:lineRule="auto"/>
      </w:pPr>
      <w:bookmarkStart w:id="96" w:name="_Toc85103636"/>
      <w:bookmarkStart w:id="97" w:name="_Toc85105525"/>
      <w:bookmarkStart w:id="98" w:name="_Toc85256261"/>
      <w:bookmarkStart w:id="99" w:name="_Toc85256291"/>
      <w:bookmarkStart w:id="100" w:name="_Toc475693151"/>
      <w:r>
        <w:rPr>
          <w:rFonts w:hint="eastAsia"/>
        </w:rPr>
        <w:t>9认证证书</w:t>
      </w:r>
      <w:bookmarkEnd w:id="96"/>
      <w:bookmarkEnd w:id="97"/>
      <w:bookmarkEnd w:id="98"/>
      <w:bookmarkEnd w:id="99"/>
      <w:r>
        <w:rPr>
          <w:rFonts w:hint="eastAsia"/>
        </w:rPr>
        <w:t>管理</w:t>
      </w:r>
      <w:bookmarkEnd w:id="100"/>
    </w:p>
    <w:p>
      <w:pPr>
        <w:spacing w:line="360" w:lineRule="auto"/>
        <w:ind w:firstLine="480" w:firstLineChars="200"/>
        <w:rPr>
          <w:rFonts w:ascii="宋体" w:hAnsi="宋体"/>
          <w:sz w:val="24"/>
        </w:rPr>
      </w:pPr>
      <w:r>
        <w:rPr>
          <w:rFonts w:hint="eastAsia" w:ascii="宋体" w:hAnsi="宋体"/>
          <w:sz w:val="24"/>
        </w:rPr>
        <w:t>9.1，HSE管理体系认证证书有效期为3年；如获证组织要求继续使用认证证书，应在证书有效期内接受</w:t>
      </w:r>
      <w:r>
        <w:rPr>
          <w:rFonts w:hint="eastAsia" w:ascii="宋体" w:hAnsi="宋体"/>
          <w:sz w:val="24"/>
          <w:lang w:val="en-GB"/>
        </w:rPr>
        <w:t>再认证</w:t>
      </w:r>
      <w:r>
        <w:rPr>
          <w:rFonts w:hint="eastAsia" w:ascii="宋体" w:hAnsi="宋体"/>
          <w:sz w:val="24"/>
        </w:rPr>
        <w:t>。</w:t>
      </w:r>
    </w:p>
    <w:p>
      <w:pPr>
        <w:spacing w:line="360" w:lineRule="auto"/>
        <w:rPr>
          <w:rFonts w:ascii="宋体" w:hAnsi="宋体"/>
          <w:sz w:val="24"/>
        </w:rPr>
      </w:pPr>
      <w:r>
        <w:rPr>
          <w:rFonts w:hint="eastAsia" w:ascii="宋体" w:hAnsi="宋体"/>
          <w:sz w:val="24"/>
        </w:rPr>
        <w:t>,9.2证书模板见附件</w:t>
      </w:r>
    </w:p>
    <w:p>
      <w:pPr>
        <w:spacing w:line="360" w:lineRule="auto"/>
        <w:rPr>
          <w:rFonts w:ascii="宋体" w:hAnsi="宋体"/>
          <w:sz w:val="24"/>
        </w:rPr>
      </w:pPr>
      <w:r>
        <w:rPr>
          <w:rFonts w:hint="eastAsia" w:ascii="宋体" w:hAnsi="宋体"/>
          <w:sz w:val="24"/>
        </w:rPr>
        <w:t>9.3,认证证书及标志使用按照</w:t>
      </w:r>
      <w:r>
        <w:rPr>
          <w:rFonts w:hint="eastAsia" w:ascii="宋体" w:hAnsi="宋体"/>
          <w:sz w:val="24"/>
          <w:lang w:eastAsia="zh-CN"/>
        </w:rPr>
        <w:t>WLGJ</w:t>
      </w:r>
      <w:r>
        <w:rPr>
          <w:rFonts w:hint="eastAsia" w:ascii="宋体" w:hAnsi="宋体"/>
          <w:sz w:val="24"/>
        </w:rPr>
        <w:t>《管理体系认证证书和认证标志、认可标识使用规则》执行，正确使用认证证书及标志</w:t>
      </w:r>
    </w:p>
    <w:p>
      <w:pPr>
        <w:pStyle w:val="2"/>
      </w:pPr>
      <w:bookmarkStart w:id="101" w:name="_Toc475693152"/>
      <w:bookmarkStart w:id="102" w:name="_Toc185325643"/>
      <w:r>
        <w:rPr>
          <w:rFonts w:hint="eastAsia"/>
        </w:rPr>
        <w:t>10信息通报</w:t>
      </w:r>
      <w:bookmarkEnd w:id="101"/>
      <w:bookmarkEnd w:id="102"/>
    </w:p>
    <w:p>
      <w:pPr>
        <w:spacing w:line="360" w:lineRule="auto"/>
        <w:ind w:firstLine="480" w:firstLineChars="200"/>
        <w:rPr>
          <w:rFonts w:ascii="宋体" w:hAnsi="宋体"/>
          <w:sz w:val="24"/>
        </w:rPr>
      </w:pPr>
      <w:r>
        <w:rPr>
          <w:rFonts w:hint="eastAsia" w:ascii="宋体" w:hAnsi="宋体"/>
          <w:sz w:val="24"/>
        </w:rPr>
        <w:t>获证组织应建立向</w:t>
      </w:r>
      <w:r>
        <w:rPr>
          <w:rFonts w:hint="eastAsia" w:ascii="宋体" w:hAnsi="宋体"/>
          <w:sz w:val="24"/>
          <w:lang w:eastAsia="zh-CN"/>
        </w:rPr>
        <w:t>WLGJ</w:t>
      </w:r>
      <w:r>
        <w:rPr>
          <w:rFonts w:hint="eastAsia" w:ascii="宋体" w:hAnsi="宋体"/>
          <w:sz w:val="24"/>
        </w:rPr>
        <w:t>通报最新信息的程序，并及时通报顾客的重大投诉、强制性HSE审计的结果及组织变更的各种信息等。</w:t>
      </w:r>
    </w:p>
    <w:p>
      <w:pPr>
        <w:spacing w:line="360" w:lineRule="auto"/>
        <w:ind w:firstLine="480" w:firstLineChars="200"/>
        <w:rPr>
          <w:rFonts w:ascii="宋体" w:hAnsi="宋体"/>
          <w:sz w:val="24"/>
        </w:rPr>
      </w:pPr>
      <w:r>
        <w:rPr>
          <w:rFonts w:hint="eastAsia" w:ascii="宋体" w:hAnsi="宋体"/>
          <w:sz w:val="24"/>
        </w:rPr>
        <w:t>变更信息包括（但不限于）以下：法律地位、经营状况、组织状态或所有权；组织和管理层（如关键的管理、决策或技术人员）；联系地址和场所；获证管理体系覆盖的运作范围；HSE管理体系和重要过程的重大变更。</w:t>
      </w:r>
    </w:p>
    <w:p>
      <w:pPr>
        <w:pStyle w:val="2"/>
        <w:spacing w:line="360" w:lineRule="auto"/>
      </w:pPr>
      <w:bookmarkStart w:id="103" w:name="_Toc475693153"/>
      <w:bookmarkStart w:id="104" w:name="_Toc185325644"/>
      <w:r>
        <w:rPr>
          <w:rFonts w:hint="eastAsia"/>
        </w:rPr>
        <w:t>11认证要求变更</w:t>
      </w:r>
      <w:bookmarkEnd w:id="103"/>
      <w:bookmarkEnd w:id="104"/>
    </w:p>
    <w:p>
      <w:pPr>
        <w:tabs>
          <w:tab w:val="left" w:pos="1597"/>
        </w:tabs>
        <w:spacing w:line="360" w:lineRule="auto"/>
        <w:ind w:firstLine="480" w:firstLineChars="200"/>
        <w:rPr>
          <w:rFonts w:ascii="宋体" w:hAnsi="宋体"/>
          <w:sz w:val="24"/>
        </w:rPr>
      </w:pPr>
      <w:r>
        <w:rPr>
          <w:rFonts w:hint="eastAsia" w:ascii="宋体" w:hAnsi="宋体"/>
          <w:sz w:val="24"/>
        </w:rPr>
        <w:t>认证要求变更时，</w:t>
      </w:r>
      <w:r>
        <w:rPr>
          <w:rFonts w:hint="eastAsia" w:ascii="宋体" w:hAnsi="宋体"/>
          <w:sz w:val="24"/>
          <w:lang w:eastAsia="zh-CN"/>
        </w:rPr>
        <w:t>WLGJ</w:t>
      </w:r>
      <w:r>
        <w:rPr>
          <w:rFonts w:hint="eastAsia" w:ascii="宋体" w:hAnsi="宋体"/>
          <w:sz w:val="24"/>
        </w:rPr>
        <w:t>及时将认证要求变更的文件发给所有相关的获证组织。</w:t>
      </w:r>
    </w:p>
    <w:p>
      <w:pPr>
        <w:tabs>
          <w:tab w:val="left" w:pos="1080"/>
        </w:tabs>
        <w:spacing w:line="360" w:lineRule="auto"/>
        <w:ind w:firstLine="480" w:firstLineChars="200"/>
        <w:rPr>
          <w:rFonts w:ascii="宋体" w:hAnsi="宋体"/>
          <w:sz w:val="24"/>
        </w:rPr>
      </w:pPr>
      <w:r>
        <w:rPr>
          <w:rFonts w:hint="eastAsia" w:ascii="宋体" w:hAnsi="宋体"/>
          <w:sz w:val="24"/>
          <w:lang w:eastAsia="zh-CN"/>
        </w:rPr>
        <w:t>WLGJ</w:t>
      </w:r>
      <w:r>
        <w:rPr>
          <w:rFonts w:hint="eastAsia" w:ascii="宋体" w:hAnsi="宋体"/>
          <w:sz w:val="24"/>
        </w:rPr>
        <w:t>根据认证要求变更的性质和内容，采取适当方式对获证组织实施变更后的认证要求有效性的验证，如文件审查、现场补充审核。</w:t>
      </w:r>
    </w:p>
    <w:p>
      <w:pPr>
        <w:spacing w:line="360" w:lineRule="auto"/>
        <w:ind w:firstLine="480"/>
        <w:rPr>
          <w:rFonts w:ascii="宋体" w:hAnsi="宋体"/>
          <w:sz w:val="24"/>
        </w:rPr>
      </w:pPr>
      <w:r>
        <w:rPr>
          <w:rFonts w:hint="eastAsia" w:ascii="宋体" w:hAnsi="宋体"/>
          <w:sz w:val="24"/>
          <w:lang w:eastAsia="zh-CN"/>
        </w:rPr>
        <w:t>WLGJ</w:t>
      </w:r>
      <w:r>
        <w:rPr>
          <w:rFonts w:hint="eastAsia" w:ascii="宋体" w:hAnsi="宋体"/>
          <w:sz w:val="24"/>
        </w:rPr>
        <w:t>最终根据以上步骤确认认证要求变更后获证组织的证书有效性。</w:t>
      </w:r>
    </w:p>
    <w:p>
      <w:pPr>
        <w:pStyle w:val="2"/>
        <w:spacing w:line="360" w:lineRule="auto"/>
      </w:pPr>
      <w:bookmarkStart w:id="105" w:name="_Toc185325645"/>
      <w:bookmarkStart w:id="106" w:name="_Toc475693154"/>
      <w:r>
        <w:rPr>
          <w:rFonts w:hint="eastAsia"/>
        </w:rPr>
        <w:t>12保密</w:t>
      </w:r>
      <w:bookmarkEnd w:id="105"/>
      <w:bookmarkEnd w:id="106"/>
    </w:p>
    <w:p>
      <w:pPr>
        <w:spacing w:line="360" w:lineRule="auto"/>
        <w:ind w:firstLine="480" w:firstLineChars="200"/>
        <w:rPr>
          <w:rFonts w:ascii="宋体" w:hAnsi="宋体"/>
          <w:sz w:val="24"/>
        </w:rPr>
      </w:pPr>
      <w:r>
        <w:rPr>
          <w:rFonts w:hint="eastAsia" w:ascii="宋体" w:hAnsi="宋体"/>
          <w:sz w:val="24"/>
          <w:lang w:eastAsia="zh-CN"/>
        </w:rPr>
        <w:t>WLGJ</w:t>
      </w:r>
      <w:r>
        <w:rPr>
          <w:rFonts w:hint="eastAsia" w:ascii="宋体" w:hAnsi="宋体"/>
          <w:sz w:val="24"/>
        </w:rPr>
        <w:t>承诺为认证客户保密（提前告知认证客户的需公开信息除外）。对认证客户的保密信息如需公开或向第三方提供时，应将拟提供的信息提前通知认证客户（法律限制除外）。</w:t>
      </w:r>
    </w:p>
    <w:p>
      <w:pPr>
        <w:spacing w:line="360" w:lineRule="auto"/>
        <w:ind w:firstLine="480"/>
        <w:rPr>
          <w:rFonts w:ascii="宋体" w:hAnsi="宋体"/>
          <w:sz w:val="24"/>
        </w:rPr>
      </w:pPr>
      <w:r>
        <w:rPr>
          <w:rFonts w:hint="eastAsia" w:ascii="宋体" w:hAnsi="宋体"/>
          <w:sz w:val="24"/>
        </w:rPr>
        <w:t>如有证据表明，</w:t>
      </w:r>
      <w:r>
        <w:rPr>
          <w:rFonts w:hint="eastAsia" w:ascii="宋体" w:hAnsi="宋体"/>
          <w:sz w:val="24"/>
          <w:lang w:eastAsia="zh-CN"/>
        </w:rPr>
        <w:t>WLGJ</w:t>
      </w:r>
      <w:r>
        <w:rPr>
          <w:rFonts w:hint="eastAsia" w:ascii="宋体" w:hAnsi="宋体"/>
          <w:sz w:val="24"/>
        </w:rPr>
        <w:t>因对于接触到受审核方的商业、技术秘密，应泄露给第三者（法律规定除外）的，将承担相应法律责任。</w:t>
      </w:r>
    </w:p>
    <w:p>
      <w:pPr>
        <w:spacing w:line="360" w:lineRule="auto"/>
        <w:ind w:firstLine="480"/>
        <w:rPr>
          <w:rFonts w:ascii="宋体" w:hAnsi="宋体"/>
          <w:sz w:val="24"/>
        </w:rPr>
      </w:pPr>
    </w:p>
    <w:p>
      <w:pPr>
        <w:pStyle w:val="2"/>
        <w:spacing w:line="360" w:lineRule="auto"/>
      </w:pPr>
      <w:bookmarkStart w:id="107" w:name="_Toc185325646"/>
      <w:bookmarkStart w:id="108" w:name="_Toc475693155"/>
      <w:r>
        <w:rPr>
          <w:rFonts w:hint="eastAsia"/>
        </w:rPr>
        <w:t>13、申诉/投诉、争议及处理</w:t>
      </w:r>
      <w:bookmarkEnd w:id="107"/>
      <w:bookmarkEnd w:id="108"/>
    </w:p>
    <w:p>
      <w:pPr>
        <w:pStyle w:val="23"/>
        <w:spacing w:after="0" w:line="360" w:lineRule="auto"/>
        <w:ind w:left="0" w:leftChars="0" w:firstLine="420" w:firstLineChars="175"/>
        <w:rPr>
          <w:sz w:val="24"/>
          <w:szCs w:val="24"/>
        </w:rPr>
      </w:pPr>
      <w:r>
        <w:rPr>
          <w:rFonts w:hint="eastAsia"/>
          <w:sz w:val="24"/>
          <w:szCs w:val="24"/>
        </w:rPr>
        <w:t>对</w:t>
      </w:r>
      <w:r>
        <w:rPr>
          <w:rFonts w:hint="eastAsia"/>
          <w:sz w:val="24"/>
          <w:szCs w:val="24"/>
          <w:lang w:eastAsia="zh-CN"/>
        </w:rPr>
        <w:t>WLGJ</w:t>
      </w:r>
      <w:r>
        <w:rPr>
          <w:rFonts w:hint="eastAsia"/>
          <w:sz w:val="24"/>
          <w:szCs w:val="24"/>
        </w:rPr>
        <w:t>或认证人员违反国家评价法律、法规、认可机构有关规定、缺乏公正性及对审核的审核结果等有异议时，可以向</w:t>
      </w:r>
      <w:r>
        <w:rPr>
          <w:rFonts w:hint="eastAsia"/>
          <w:sz w:val="24"/>
          <w:szCs w:val="24"/>
          <w:lang w:eastAsia="zh-CN"/>
        </w:rPr>
        <w:t>WLGJ</w:t>
      </w:r>
      <w:r>
        <w:rPr>
          <w:rFonts w:hint="eastAsia"/>
          <w:sz w:val="24"/>
          <w:szCs w:val="24"/>
        </w:rPr>
        <w:t>认证业务部提出申诉、投诉。</w:t>
      </w:r>
    </w:p>
    <w:p>
      <w:pPr>
        <w:spacing w:line="360" w:lineRule="auto"/>
        <w:ind w:firstLine="480" w:firstLineChars="200"/>
        <w:rPr>
          <w:rFonts w:ascii="宋体"/>
          <w:bCs/>
          <w:sz w:val="24"/>
        </w:rPr>
      </w:pPr>
      <w:r>
        <w:rPr>
          <w:rFonts w:hint="eastAsia" w:ascii="宋体"/>
          <w:bCs/>
          <w:sz w:val="24"/>
          <w:lang w:eastAsia="zh-CN"/>
        </w:rPr>
        <w:t>WLGJ</w:t>
      </w:r>
      <w:r>
        <w:rPr>
          <w:rFonts w:hint="eastAsia" w:ascii="宋体"/>
          <w:bCs/>
          <w:sz w:val="24"/>
        </w:rPr>
        <w:t>将在30日内将处理情况以书面的方式给予答复。</w:t>
      </w:r>
    </w:p>
    <w:p>
      <w:pPr>
        <w:pStyle w:val="2"/>
        <w:spacing w:line="360" w:lineRule="auto"/>
      </w:pPr>
      <w:bookmarkStart w:id="109" w:name="_Toc185325647"/>
      <w:bookmarkStart w:id="110" w:name="_Toc475693156"/>
      <w:r>
        <w:rPr>
          <w:rFonts w:hint="eastAsia"/>
        </w:rPr>
        <w:t>14</w:t>
      </w:r>
      <w:bookmarkEnd w:id="109"/>
      <w:r>
        <w:rPr>
          <w:rFonts w:hint="eastAsia"/>
        </w:rPr>
        <w:t>审核人日</w:t>
      </w:r>
      <w:bookmarkEnd w:id="110"/>
    </w:p>
    <w:p>
      <w:pPr>
        <w:spacing w:line="360" w:lineRule="auto"/>
        <w:ind w:firstLine="480" w:firstLineChars="200"/>
        <w:rPr>
          <w:rFonts w:ascii="宋体" w:hAnsi="宋体"/>
          <w:sz w:val="24"/>
        </w:rPr>
      </w:pPr>
      <w:r>
        <w:rPr>
          <w:rFonts w:hint="eastAsia" w:ascii="宋体" w:hAnsi="宋体"/>
          <w:sz w:val="24"/>
        </w:rPr>
        <w:t>HSE管理体系人日标准：</w:t>
      </w:r>
    </w:p>
    <w:p>
      <w:pPr>
        <w:pStyle w:val="26"/>
        <w:numPr>
          <w:ilvl w:val="0"/>
          <w:numId w:val="24"/>
        </w:numPr>
        <w:spacing w:before="0" w:beforeAutospacing="0" w:after="0" w:afterAutospacing="0" w:line="360" w:lineRule="auto"/>
      </w:pPr>
      <w:r>
        <w:rPr>
          <w:rFonts w:hint="eastAsia"/>
        </w:rPr>
        <w:t>单独实施HSE管理体系审核，按单个OHSMS标</w:t>
      </w:r>
      <w:r>
        <w:rPr>
          <w:rFonts w:hint="eastAsia"/>
          <w:color w:val="000000" w:themeColor="text1"/>
        </w:rPr>
        <w:t>准人日的1.2倍安</w:t>
      </w:r>
      <w:r>
        <w:rPr>
          <w:rFonts w:hint="eastAsia"/>
        </w:rPr>
        <w:t>排审核；</w:t>
      </w:r>
    </w:p>
    <w:p>
      <w:pPr>
        <w:pStyle w:val="26"/>
        <w:numPr>
          <w:ilvl w:val="0"/>
          <w:numId w:val="24"/>
        </w:numPr>
        <w:spacing w:before="0" w:beforeAutospacing="0" w:after="0" w:afterAutospacing="0" w:line="360" w:lineRule="auto"/>
      </w:pPr>
      <w:r>
        <w:rPr>
          <w:rFonts w:hint="eastAsia"/>
        </w:rPr>
        <w:t>和EMS、OHSMS（或QMS、EMS、OHSMS）一起审核：初审/再认证/监督增加人日不少</w:t>
      </w:r>
      <w:r>
        <w:rPr>
          <w:rFonts w:hint="eastAsia"/>
          <w:color w:val="000000" w:themeColor="text1"/>
        </w:rPr>
        <w:t>于EMS与OHSMS标准人日总和的10%。</w:t>
      </w:r>
    </w:p>
    <w:p>
      <w:pPr>
        <w:pStyle w:val="2"/>
        <w:spacing w:line="360" w:lineRule="auto"/>
      </w:pPr>
      <w:bookmarkStart w:id="111" w:name="_Toc185325648"/>
      <w:bookmarkStart w:id="112" w:name="_Toc475693157"/>
      <w:r>
        <w:rPr>
          <w:rFonts w:hint="eastAsia"/>
        </w:rPr>
        <w:t>15</w:t>
      </w:r>
      <w:bookmarkEnd w:id="111"/>
      <w:bookmarkStart w:id="113" w:name="_Toc185325649"/>
      <w:r>
        <w:rPr>
          <w:rFonts w:hint="eastAsia"/>
        </w:rPr>
        <w:t>附则</w:t>
      </w:r>
      <w:bookmarkEnd w:id="112"/>
      <w:bookmarkEnd w:id="113"/>
    </w:p>
    <w:p>
      <w:pPr>
        <w:spacing w:line="360" w:lineRule="auto"/>
        <w:ind w:firstLine="480"/>
        <w:rPr>
          <w:rFonts w:ascii="宋体" w:hAnsi="宋体"/>
          <w:bCs/>
          <w:sz w:val="24"/>
        </w:rPr>
      </w:pPr>
      <w:r>
        <w:rPr>
          <w:rFonts w:hint="eastAsia" w:ascii="宋体" w:hAnsi="宋体"/>
          <w:sz w:val="24"/>
        </w:rPr>
        <w:t>本方案由</w:t>
      </w:r>
      <w:r>
        <w:rPr>
          <w:rFonts w:hint="eastAsia" w:ascii="宋体" w:hAnsi="宋体"/>
          <w:sz w:val="24"/>
          <w:lang w:eastAsia="zh-CN"/>
        </w:rPr>
        <w:t>WLGJ</w:t>
      </w:r>
      <w:r>
        <w:rPr>
          <w:rFonts w:hint="eastAsia" w:ascii="宋体" w:hAnsi="宋体"/>
          <w:sz w:val="24"/>
        </w:rPr>
        <w:t>认证业务部负责解释。</w:t>
      </w:r>
    </w:p>
    <w:p>
      <w:pPr>
        <w:pStyle w:val="11"/>
        <w:spacing w:after="0" w:line="360" w:lineRule="auto"/>
        <w:rPr>
          <w:sz w:val="24"/>
        </w:rPr>
      </w:pPr>
      <w:r>
        <w:rPr>
          <w:rFonts w:hint="eastAsia"/>
          <w:sz w:val="24"/>
        </w:rPr>
        <w:t>附件，HSE证书模板，</w:t>
      </w:r>
    </w:p>
    <w:sectPr>
      <w:headerReference r:id="rId4" w:type="first"/>
      <w:headerReference r:id="rId3" w:type="default"/>
      <w:footerReference r:id="rId5" w:type="default"/>
      <w:footerReference r:id="rId6" w:type="even"/>
      <w:pgSz w:w="11906" w:h="16838"/>
      <w:pgMar w:top="1440" w:right="1800" w:bottom="1440" w:left="1800" w:header="567"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0"/>
      <w:tblW w:w="9614"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
      <w:gridCol w:w="1980"/>
      <w:gridCol w:w="3006"/>
      <w:gridCol w:w="673"/>
      <w:gridCol w:w="1080"/>
      <w:gridCol w:w="189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jc w:val="center"/>
      </w:trPr>
      <w:tc>
        <w:tcPr>
          <w:tcW w:w="984" w:type="dxa"/>
          <w:vAlign w:val="bottom"/>
        </w:tcPr>
        <w:p>
          <w:pPr>
            <w:pStyle w:val="19"/>
            <w:jc w:val="both"/>
            <w:rPr>
              <w:rFonts w:hint="eastAsia" w:ascii="黑体" w:eastAsia="黑体"/>
              <w:sz w:val="15"/>
            </w:rPr>
          </w:pPr>
          <w:r>
            <w:rPr>
              <w:rFonts w:hint="eastAsia" w:ascii="黑体" w:eastAsia="黑体"/>
              <w:sz w:val="15"/>
            </w:rPr>
            <w:t>发布日期</w:t>
          </w:r>
        </w:p>
      </w:tc>
      <w:tc>
        <w:tcPr>
          <w:tcW w:w="1980" w:type="dxa"/>
          <w:vAlign w:val="bottom"/>
        </w:tcPr>
        <w:p>
          <w:pPr>
            <w:pStyle w:val="19"/>
            <w:jc w:val="both"/>
            <w:rPr>
              <w:rFonts w:hint="eastAsia" w:ascii="黑体" w:eastAsia="黑体"/>
              <w:sz w:val="15"/>
            </w:rPr>
          </w:pPr>
          <w:r>
            <w:rPr>
              <w:rFonts w:hint="eastAsia" w:ascii="黑体" w:eastAsia="黑体"/>
              <w:sz w:val="15"/>
            </w:rPr>
            <w:t xml:space="preserve"> 20</w:t>
          </w:r>
          <w:r>
            <w:rPr>
              <w:rFonts w:hint="eastAsia" w:ascii="黑体" w:eastAsia="黑体"/>
              <w:sz w:val="15"/>
              <w:lang w:val="en-US" w:eastAsia="zh-CN"/>
            </w:rPr>
            <w:t>20</w:t>
          </w:r>
          <w:r>
            <w:rPr>
              <w:rFonts w:hint="eastAsia" w:ascii="黑体" w:eastAsia="黑体"/>
              <w:sz w:val="15"/>
            </w:rPr>
            <w:t xml:space="preserve"> 年</w:t>
          </w:r>
          <w:r>
            <w:rPr>
              <w:rFonts w:hint="eastAsia" w:ascii="黑体" w:eastAsia="黑体"/>
              <w:sz w:val="15"/>
              <w:lang w:val="en-US" w:eastAsia="zh-CN"/>
            </w:rPr>
            <w:t>10</w:t>
          </w:r>
          <w:r>
            <w:rPr>
              <w:rFonts w:hint="eastAsia" w:ascii="黑体" w:eastAsia="黑体"/>
              <w:sz w:val="15"/>
            </w:rPr>
            <w:t>月</w:t>
          </w:r>
          <w:r>
            <w:rPr>
              <w:rFonts w:hint="eastAsia" w:ascii="黑体" w:eastAsia="黑体"/>
              <w:sz w:val="15"/>
              <w:lang w:val="en-US" w:eastAsia="zh-CN"/>
            </w:rPr>
            <w:t>6</w:t>
          </w:r>
          <w:r>
            <w:rPr>
              <w:rFonts w:hint="eastAsia" w:ascii="黑体" w:eastAsia="黑体"/>
              <w:sz w:val="15"/>
            </w:rPr>
            <w:t>日</w:t>
          </w:r>
        </w:p>
      </w:tc>
      <w:tc>
        <w:tcPr>
          <w:tcW w:w="3006" w:type="dxa"/>
          <w:vAlign w:val="bottom"/>
        </w:tcPr>
        <w:p>
          <w:pPr>
            <w:pStyle w:val="19"/>
            <w:jc w:val="both"/>
            <w:rPr>
              <w:rFonts w:hint="eastAsia" w:ascii="黑体" w:eastAsia="黑体"/>
              <w:sz w:val="15"/>
            </w:rPr>
          </w:pPr>
        </w:p>
      </w:tc>
      <w:tc>
        <w:tcPr>
          <w:tcW w:w="673" w:type="dxa"/>
          <w:vAlign w:val="bottom"/>
        </w:tcPr>
        <w:p>
          <w:pPr>
            <w:pStyle w:val="19"/>
            <w:jc w:val="both"/>
            <w:rPr>
              <w:rFonts w:hint="eastAsia" w:ascii="黑体" w:eastAsia="黑体"/>
              <w:sz w:val="15"/>
            </w:rPr>
          </w:pPr>
        </w:p>
      </w:tc>
      <w:tc>
        <w:tcPr>
          <w:tcW w:w="1080" w:type="dxa"/>
          <w:vAlign w:val="bottom"/>
        </w:tcPr>
        <w:p>
          <w:pPr>
            <w:pStyle w:val="19"/>
            <w:jc w:val="both"/>
            <w:rPr>
              <w:rFonts w:hint="eastAsia" w:ascii="黑体" w:eastAsia="黑体"/>
              <w:sz w:val="15"/>
            </w:rPr>
          </w:pPr>
          <w:r>
            <w:rPr>
              <w:rFonts w:hint="eastAsia" w:ascii="黑体" w:eastAsia="黑体"/>
              <w:sz w:val="15"/>
            </w:rPr>
            <w:t>实施日期</w:t>
          </w:r>
        </w:p>
      </w:tc>
      <w:tc>
        <w:tcPr>
          <w:tcW w:w="1891" w:type="dxa"/>
          <w:vAlign w:val="bottom"/>
        </w:tcPr>
        <w:p>
          <w:pPr>
            <w:pStyle w:val="19"/>
            <w:jc w:val="both"/>
            <w:rPr>
              <w:rFonts w:ascii="黑体" w:eastAsia="黑体"/>
              <w:sz w:val="15"/>
            </w:rPr>
          </w:pPr>
          <w:r>
            <w:rPr>
              <w:rFonts w:hint="eastAsia" w:ascii="黑体" w:eastAsia="黑体"/>
              <w:sz w:val="15"/>
            </w:rPr>
            <w:t>20</w:t>
          </w:r>
          <w:r>
            <w:rPr>
              <w:rFonts w:hint="eastAsia" w:ascii="黑体" w:eastAsia="黑体"/>
              <w:sz w:val="15"/>
              <w:lang w:val="en-US" w:eastAsia="zh-CN"/>
            </w:rPr>
            <w:t>20</w:t>
          </w:r>
          <w:r>
            <w:rPr>
              <w:rFonts w:hint="eastAsia" w:ascii="黑体" w:eastAsia="黑体"/>
              <w:sz w:val="15"/>
            </w:rPr>
            <w:t>年</w:t>
          </w:r>
          <w:r>
            <w:rPr>
              <w:rFonts w:hint="eastAsia" w:ascii="黑体" w:eastAsia="黑体"/>
              <w:sz w:val="15"/>
              <w:lang w:val="en-US" w:eastAsia="zh-CN"/>
            </w:rPr>
            <w:t>10</w:t>
          </w:r>
          <w:r>
            <w:rPr>
              <w:rFonts w:hint="eastAsia" w:ascii="黑体" w:eastAsia="黑体"/>
              <w:sz w:val="15"/>
            </w:rPr>
            <w:t>月</w:t>
          </w:r>
          <w:r>
            <w:rPr>
              <w:rFonts w:hint="eastAsia" w:ascii="黑体" w:eastAsia="黑体"/>
              <w:sz w:val="15"/>
              <w:lang w:val="en-US" w:eastAsia="zh-CN"/>
            </w:rPr>
            <w:t>06</w:t>
          </w:r>
          <w:r>
            <w:rPr>
              <w:rFonts w:hint="eastAsia" w:ascii="黑体" w:eastAsia="黑体"/>
              <w:sz w:val="15"/>
            </w:rPr>
            <w:t>日</w:t>
          </w:r>
        </w:p>
      </w:tc>
    </w:tr>
  </w:tbl>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ckThinSmallGap" w:color="auto" w:sz="12" w:space="1"/>
      </w:pBdr>
      <w:jc w:val="both"/>
      <w:rPr>
        <w:rFonts w:ascii="Arial Unicode MS" w:hAnsi="Arial Unicode MS" w:eastAsia="Arial Unicode MS" w:cs="Arial Unicode MS"/>
      </w:rPr>
    </w:pPr>
    <w:r>
      <w:rPr>
        <w:rFonts w:hint="eastAsia" w:ascii="Arial Unicode MS" w:hAnsi="Arial Unicode MS" w:eastAsia="Arial Unicode MS" w:cs="Arial Unicode MS"/>
      </w:rPr>
      <w:t xml:space="preserve"> </w:t>
    </w:r>
  </w:p>
  <w:tbl>
    <w:tblPr>
      <w:tblStyle w:val="30"/>
      <w:tblW w:w="8825" w:type="dxa"/>
      <w:jc w:val="center"/>
      <w:tblBorders>
        <w:top w:val="none" w:color="auto" w:sz="0" w:space="0"/>
        <w:left w:val="none" w:color="auto" w:sz="0" w:space="0"/>
        <w:bottom w:val="thickThinSmallGap" w:color="auto"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11"/>
      <w:gridCol w:w="1173"/>
      <w:gridCol w:w="1746"/>
      <w:gridCol w:w="1395"/>
    </w:tblGrid>
    <w:tr>
      <w:tblPrEx>
        <w:tblBorders>
          <w:top w:val="none" w:color="auto" w:sz="0" w:space="0"/>
          <w:left w:val="none" w:color="auto" w:sz="0" w:space="0"/>
          <w:bottom w:val="thickThinSmallGap"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4564" w:type="dxa"/>
          <w:vAlign w:val="center"/>
        </w:tcPr>
        <w:p>
          <w:pPr>
            <w:pStyle w:val="20"/>
            <w:pBdr>
              <w:bottom w:val="none" w:color="auto" w:sz="0" w:space="0"/>
            </w:pBdr>
            <w:spacing w:before="120" w:after="120"/>
            <w:jc w:val="both"/>
            <w:rPr>
              <w:rFonts w:hint="eastAsia" w:eastAsia="宋体"/>
              <w:lang w:eastAsia="zh-CN"/>
            </w:rPr>
          </w:pPr>
          <w:r>
            <w:rPr>
              <w:rFonts w:hint="eastAsia" w:eastAsia="宋体"/>
              <w:lang w:eastAsia="zh-CN"/>
            </w:rPr>
            <w:drawing>
              <wp:anchor distT="0" distB="0" distL="114300" distR="114300" simplePos="0" relativeHeight="251669504" behindDoc="0" locked="0" layoutInCell="1" allowOverlap="1">
                <wp:simplePos x="0" y="0"/>
                <wp:positionH relativeFrom="column">
                  <wp:posOffset>121920</wp:posOffset>
                </wp:positionH>
                <wp:positionV relativeFrom="paragraph">
                  <wp:posOffset>40005</wp:posOffset>
                </wp:positionV>
                <wp:extent cx="516890" cy="479425"/>
                <wp:effectExtent l="0" t="0" r="16510" b="15875"/>
                <wp:wrapNone/>
                <wp:docPr id="7" name="图片 7" descr="1a5da3cdabb92985c8aa5abdddca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a5da3cdabb92985c8aa5abdddca102"/>
                        <pic:cNvPicPr>
                          <a:picLocks noChangeAspect="1"/>
                        </pic:cNvPicPr>
                      </pic:nvPicPr>
                      <pic:blipFill>
                        <a:blip r:embed="rId1"/>
                        <a:stretch>
                          <a:fillRect/>
                        </a:stretch>
                      </pic:blipFill>
                      <pic:spPr>
                        <a:xfrm rot="10800000" flipV="1">
                          <a:off x="0" y="0"/>
                          <a:ext cx="516890" cy="479425"/>
                        </a:xfrm>
                        <a:prstGeom prst="rect">
                          <a:avLst/>
                        </a:prstGeom>
                      </pic:spPr>
                    </pic:pic>
                  </a:graphicData>
                </a:graphic>
              </wp:anchor>
            </w:drawing>
          </w:r>
          <w:r>
            <w:rPr>
              <w:rFonts w:hint="eastAsia" w:eastAsia="宋体"/>
              <w:lang w:eastAsia="zh-CN"/>
            </w:rPr>
            <w:drawing>
              <wp:anchor distT="0" distB="0" distL="114300" distR="114300" simplePos="0" relativeHeight="251668480" behindDoc="0" locked="0" layoutInCell="1" allowOverlap="1">
                <wp:simplePos x="0" y="0"/>
                <wp:positionH relativeFrom="column">
                  <wp:posOffset>755015</wp:posOffset>
                </wp:positionH>
                <wp:positionV relativeFrom="paragraph">
                  <wp:posOffset>43180</wp:posOffset>
                </wp:positionV>
                <wp:extent cx="1854200" cy="484505"/>
                <wp:effectExtent l="0" t="0" r="12700" b="10795"/>
                <wp:wrapNone/>
                <wp:docPr id="6" name="图片 6" descr="1619488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19488903(1)"/>
                        <pic:cNvPicPr>
                          <a:picLocks noChangeAspect="1"/>
                        </pic:cNvPicPr>
                      </pic:nvPicPr>
                      <pic:blipFill>
                        <a:blip r:embed="rId2"/>
                        <a:stretch>
                          <a:fillRect/>
                        </a:stretch>
                      </pic:blipFill>
                      <pic:spPr>
                        <a:xfrm>
                          <a:off x="0" y="0"/>
                          <a:ext cx="1854200" cy="484505"/>
                        </a:xfrm>
                        <a:prstGeom prst="rect">
                          <a:avLst/>
                        </a:prstGeom>
                      </pic:spPr>
                    </pic:pic>
                  </a:graphicData>
                </a:graphic>
              </wp:anchor>
            </w:drawing>
          </w:r>
          <w:r>
            <w:rPr>
              <w:rFonts w:hint="eastAsia" w:eastAsia="宋体"/>
              <w:lang w:eastAsia="zh-CN"/>
            </w:rPr>
            <w:drawing>
              <wp:anchor distT="0" distB="0" distL="114300" distR="114300" simplePos="0" relativeHeight="251667456" behindDoc="0" locked="0" layoutInCell="1" allowOverlap="1">
                <wp:simplePos x="0" y="0"/>
                <wp:positionH relativeFrom="column">
                  <wp:posOffset>0</wp:posOffset>
                </wp:positionH>
                <wp:positionV relativeFrom="paragraph">
                  <wp:posOffset>46990</wp:posOffset>
                </wp:positionV>
                <wp:extent cx="1854200" cy="484505"/>
                <wp:effectExtent l="0" t="0" r="12700" b="10795"/>
                <wp:wrapNone/>
                <wp:docPr id="5" name="图片 5" descr="1619488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19488903(1)"/>
                        <pic:cNvPicPr>
                          <a:picLocks noChangeAspect="1"/>
                        </pic:cNvPicPr>
                      </pic:nvPicPr>
                      <pic:blipFill>
                        <a:blip r:embed="rId2"/>
                        <a:stretch>
                          <a:fillRect/>
                        </a:stretch>
                      </pic:blipFill>
                      <pic:spPr>
                        <a:xfrm>
                          <a:off x="0" y="0"/>
                          <a:ext cx="1854200" cy="484505"/>
                        </a:xfrm>
                        <a:prstGeom prst="rect">
                          <a:avLst/>
                        </a:prstGeom>
                      </pic:spPr>
                    </pic:pic>
                  </a:graphicData>
                </a:graphic>
              </wp:anchor>
            </w:drawing>
          </w:r>
          <w:r>
            <w:drawing>
              <wp:inline distT="0" distB="0" distL="0" distR="0">
                <wp:extent cx="2295525" cy="428625"/>
                <wp:effectExtent l="19050" t="0" r="9525" b="0"/>
                <wp:docPr id="3" name="图片 2" descr="E:\李哥设计\标志样本\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E:\李哥设计\标志样本\2.tif"/>
                        <pic:cNvPicPr>
                          <a:picLocks noChangeAspect="1" noChangeArrowheads="1"/>
                        </pic:cNvPicPr>
                      </pic:nvPicPr>
                      <pic:blipFill>
                        <a:blip r:embed="rId3"/>
                        <a:srcRect/>
                        <a:stretch>
                          <a:fillRect/>
                        </a:stretch>
                      </pic:blipFill>
                      <pic:spPr>
                        <a:xfrm>
                          <a:off x="0" y="0"/>
                          <a:ext cx="2295525" cy="428625"/>
                        </a:xfrm>
                        <a:prstGeom prst="rect">
                          <a:avLst/>
                        </a:prstGeom>
                        <a:noFill/>
                        <a:ln w="9525">
                          <a:noFill/>
                          <a:miter lim="800000"/>
                          <a:headEnd/>
                          <a:tailEnd/>
                        </a:ln>
                      </pic:spPr>
                    </pic:pic>
                  </a:graphicData>
                </a:graphic>
              </wp:inline>
            </w:drawing>
          </w:r>
        </w:p>
      </w:tc>
      <w:tc>
        <w:tcPr>
          <w:tcW w:w="1194" w:type="dxa"/>
          <w:vAlign w:val="bottom"/>
        </w:tcPr>
        <w:p>
          <w:pPr>
            <w:pStyle w:val="20"/>
            <w:pBdr>
              <w:bottom w:val="none" w:color="auto" w:sz="0" w:space="0"/>
            </w:pBdr>
            <w:ind w:firstLine="450" w:firstLineChars="250"/>
            <w:jc w:val="both"/>
            <w:rPr>
              <w:rFonts w:ascii="黑体" w:eastAsia="黑体"/>
              <w:sz w:val="21"/>
            </w:rPr>
          </w:pPr>
          <w:r>
            <w:rPr>
              <w:rFonts w:hint="eastAsia" w:ascii="黑体" w:eastAsia="黑体"/>
            </w:rPr>
            <w:t>编号：</w:t>
          </w:r>
        </w:p>
      </w:tc>
      <w:tc>
        <w:tcPr>
          <w:tcW w:w="1609" w:type="dxa"/>
          <w:vAlign w:val="bottom"/>
        </w:tcPr>
        <w:p>
          <w:pPr>
            <w:pStyle w:val="20"/>
            <w:rPr>
              <w:rFonts w:ascii="黑体" w:eastAsia="黑体"/>
            </w:rPr>
          </w:pPr>
          <w:r>
            <w:rPr>
              <w:rFonts w:hint="eastAsia" w:ascii="宋体" w:hAnsi="宋体"/>
            </w:rPr>
            <w:t>WLGJ-RZ-ZY-01-004</w:t>
          </w:r>
        </w:p>
      </w:tc>
      <w:tc>
        <w:tcPr>
          <w:tcW w:w="1458" w:type="dxa"/>
          <w:vAlign w:val="bottom"/>
        </w:tcPr>
        <w:p>
          <w:pPr>
            <w:pStyle w:val="20"/>
          </w:pPr>
          <w:r>
            <w:rPr>
              <w:rFonts w:hint="eastAsia"/>
            </w:rPr>
            <w:t>版本：01/01</w:t>
          </w:r>
        </w:p>
      </w:tc>
    </w:tr>
  </w:tbl>
  <w:p>
    <w:pPr>
      <w:pStyle w:val="20"/>
      <w:pBdr>
        <w:bottom w:val="thickThinSmallGap" w:color="auto" w:sz="12" w:space="1"/>
      </w:pBdr>
      <w:jc w:val="both"/>
      <w:rPr>
        <w:rFonts w:ascii="Arial Unicode MS" w:hAnsi="Arial Unicode MS" w:eastAsia="Arial Unicode MS" w:cs="Arial Unicode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064C4"/>
    <w:multiLevelType w:val="multilevel"/>
    <w:tmpl w:val="101064C4"/>
    <w:lvl w:ilvl="0" w:tentative="0">
      <w:start w:val="1"/>
      <w:numFmt w:val="lowerLetter"/>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8D00E01"/>
    <w:multiLevelType w:val="multilevel"/>
    <w:tmpl w:val="18D00E0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C115ED4"/>
    <w:multiLevelType w:val="multilevel"/>
    <w:tmpl w:val="1C115ED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2710C3E"/>
    <w:multiLevelType w:val="multilevel"/>
    <w:tmpl w:val="22710C3E"/>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
    <w:nsid w:val="230C3AAD"/>
    <w:multiLevelType w:val="multilevel"/>
    <w:tmpl w:val="230C3AAD"/>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5">
    <w:nsid w:val="2377533A"/>
    <w:multiLevelType w:val="multilevel"/>
    <w:tmpl w:val="2377533A"/>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6">
    <w:nsid w:val="27D53D6C"/>
    <w:multiLevelType w:val="multilevel"/>
    <w:tmpl w:val="27D53D6C"/>
    <w:lvl w:ilvl="0" w:tentative="0">
      <w:start w:val="1"/>
      <w:numFmt w:val="lowerLetter"/>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30F56B1E"/>
    <w:multiLevelType w:val="multilevel"/>
    <w:tmpl w:val="30F56B1E"/>
    <w:lvl w:ilvl="0" w:tentative="0">
      <w:start w:val="4"/>
      <w:numFmt w:val="decimal"/>
      <w:lvlText w:val="%1．"/>
      <w:lvlJc w:val="left"/>
      <w:pPr>
        <w:tabs>
          <w:tab w:val="left" w:pos="360"/>
        </w:tabs>
        <w:ind w:left="360" w:hanging="36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557121C"/>
    <w:multiLevelType w:val="multilevel"/>
    <w:tmpl w:val="3557121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B794E96"/>
    <w:multiLevelType w:val="multilevel"/>
    <w:tmpl w:val="3B794E9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C750C3D"/>
    <w:multiLevelType w:val="multilevel"/>
    <w:tmpl w:val="3C750C3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D3C693D"/>
    <w:multiLevelType w:val="multilevel"/>
    <w:tmpl w:val="3D3C693D"/>
    <w:lvl w:ilvl="0" w:tentative="0">
      <w:start w:val="1"/>
      <w:numFmt w:val="none"/>
      <w:pStyle w:val="40"/>
      <w:suff w:val="nothing"/>
      <w:lvlText w:val="%1"/>
      <w:lvlJc w:val="left"/>
      <w:pPr>
        <w:ind w:left="0" w:firstLine="0"/>
      </w:pPr>
      <w:rPr>
        <w:rFonts w:hint="default" w:ascii="Times New Roman" w:hAnsi="Times New Roman"/>
        <w:b/>
        <w:i w:val="0"/>
        <w:sz w:val="21"/>
      </w:rPr>
    </w:lvl>
    <w:lvl w:ilvl="1" w:tentative="0">
      <w:start w:val="4"/>
      <w:numFmt w:val="none"/>
      <w:suff w:val="nothing"/>
      <w:lvlText w:val="9　"/>
      <w:lvlJc w:val="left"/>
      <w:pPr>
        <w:ind w:left="0" w:firstLine="0"/>
      </w:pPr>
      <w:rPr>
        <w:rFonts w:hint="eastAsia" w:ascii="黑体" w:hAnsi="Times New Roman" w:eastAsia="黑体"/>
        <w:b w:val="0"/>
        <w:i w:val="0"/>
        <w:sz w:val="21"/>
      </w:rPr>
    </w:lvl>
    <w:lvl w:ilvl="2" w:tentative="0">
      <w:start w:val="1"/>
      <w:numFmt w:val="none"/>
      <w:suff w:val="nothing"/>
      <w:lvlText w:val="9.2　"/>
      <w:lvlJc w:val="left"/>
      <w:pPr>
        <w:ind w:left="0" w:firstLine="0"/>
      </w:pPr>
      <w:rPr>
        <w:rFonts w:hint="eastAsia" w:ascii="黑体" w:hAnsi="Times New Roman" w:eastAsia="黑体"/>
        <w:b w:val="0"/>
        <w:i w:val="0"/>
        <w:sz w:val="21"/>
      </w:rPr>
    </w:lvl>
    <w:lvl w:ilvl="3" w:tentative="0">
      <w:start w:val="1"/>
      <w:numFmt w:val="none"/>
      <w:lvlRestart w:val="0"/>
      <w:suff w:val="nothing"/>
      <w:lvlText w:val="9.2.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41C30C8A"/>
    <w:multiLevelType w:val="multilevel"/>
    <w:tmpl w:val="41C30C8A"/>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3">
    <w:nsid w:val="4267388E"/>
    <w:multiLevelType w:val="multilevel"/>
    <w:tmpl w:val="4267388E"/>
    <w:lvl w:ilvl="0" w:tentative="0">
      <w:start w:val="1"/>
      <w:numFmt w:val="lowerLetter"/>
      <w:lvlText w:val="%1)"/>
      <w:lvlJc w:val="left"/>
      <w:pPr>
        <w:ind w:left="841" w:hanging="420"/>
      </w:pPr>
    </w:lvl>
    <w:lvl w:ilvl="1" w:tentative="0">
      <w:start w:val="1"/>
      <w:numFmt w:val="lowerLetter"/>
      <w:lvlText w:val="%2)"/>
      <w:lvlJc w:val="left"/>
      <w:pPr>
        <w:ind w:left="1261" w:hanging="420"/>
      </w:pPr>
    </w:lvl>
    <w:lvl w:ilvl="2" w:tentative="0">
      <w:start w:val="1"/>
      <w:numFmt w:val="lowerRoman"/>
      <w:lvlText w:val="%3."/>
      <w:lvlJc w:val="right"/>
      <w:pPr>
        <w:ind w:left="1681" w:hanging="420"/>
      </w:pPr>
    </w:lvl>
    <w:lvl w:ilvl="3" w:tentative="0">
      <w:start w:val="1"/>
      <w:numFmt w:val="decimal"/>
      <w:lvlText w:val="%4."/>
      <w:lvlJc w:val="left"/>
      <w:pPr>
        <w:ind w:left="2101" w:hanging="420"/>
      </w:pPr>
    </w:lvl>
    <w:lvl w:ilvl="4" w:tentative="0">
      <w:start w:val="1"/>
      <w:numFmt w:val="lowerLetter"/>
      <w:lvlText w:val="%5)"/>
      <w:lvlJc w:val="left"/>
      <w:pPr>
        <w:ind w:left="2521" w:hanging="420"/>
      </w:pPr>
    </w:lvl>
    <w:lvl w:ilvl="5" w:tentative="0">
      <w:start w:val="1"/>
      <w:numFmt w:val="lowerRoman"/>
      <w:lvlText w:val="%6."/>
      <w:lvlJc w:val="right"/>
      <w:pPr>
        <w:ind w:left="2941" w:hanging="420"/>
      </w:pPr>
    </w:lvl>
    <w:lvl w:ilvl="6" w:tentative="0">
      <w:start w:val="1"/>
      <w:numFmt w:val="decimal"/>
      <w:lvlText w:val="%7."/>
      <w:lvlJc w:val="left"/>
      <w:pPr>
        <w:ind w:left="3361" w:hanging="420"/>
      </w:pPr>
    </w:lvl>
    <w:lvl w:ilvl="7" w:tentative="0">
      <w:start w:val="1"/>
      <w:numFmt w:val="lowerLetter"/>
      <w:lvlText w:val="%8)"/>
      <w:lvlJc w:val="left"/>
      <w:pPr>
        <w:ind w:left="3781" w:hanging="420"/>
      </w:pPr>
    </w:lvl>
    <w:lvl w:ilvl="8" w:tentative="0">
      <w:start w:val="1"/>
      <w:numFmt w:val="lowerRoman"/>
      <w:lvlText w:val="%9."/>
      <w:lvlJc w:val="right"/>
      <w:pPr>
        <w:ind w:left="4201" w:hanging="420"/>
      </w:pPr>
    </w:lvl>
  </w:abstractNum>
  <w:abstractNum w:abstractNumId="14">
    <w:nsid w:val="44F64B8B"/>
    <w:multiLevelType w:val="multilevel"/>
    <w:tmpl w:val="44F64B8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97A1F53"/>
    <w:multiLevelType w:val="multilevel"/>
    <w:tmpl w:val="497A1F53"/>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6">
    <w:nsid w:val="49F576A1"/>
    <w:multiLevelType w:val="multilevel"/>
    <w:tmpl w:val="49F576A1"/>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7">
    <w:nsid w:val="4A206417"/>
    <w:multiLevelType w:val="multilevel"/>
    <w:tmpl w:val="4A206417"/>
    <w:lvl w:ilvl="0" w:tentative="0">
      <w:start w:val="8"/>
      <w:numFmt w:val="decimal"/>
      <w:lvlText w:val="%1"/>
      <w:lvlJc w:val="left"/>
      <w:pPr>
        <w:ind w:left="570" w:hanging="570"/>
      </w:pPr>
      <w:rPr>
        <w:rFonts w:hint="default"/>
      </w:rPr>
    </w:lvl>
    <w:lvl w:ilvl="1" w:tentative="0">
      <w:start w:val="1"/>
      <w:numFmt w:val="decimal"/>
      <w:lvlText w:val="%1.%2"/>
      <w:lvlJc w:val="left"/>
      <w:pPr>
        <w:ind w:left="570" w:hanging="57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8">
    <w:nsid w:val="4D421DF1"/>
    <w:multiLevelType w:val="multilevel"/>
    <w:tmpl w:val="4D421DF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41731F5"/>
    <w:multiLevelType w:val="multilevel"/>
    <w:tmpl w:val="541731F5"/>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0">
    <w:nsid w:val="5A3B4573"/>
    <w:multiLevelType w:val="multilevel"/>
    <w:tmpl w:val="5A3B457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635879B1"/>
    <w:multiLevelType w:val="multilevel"/>
    <w:tmpl w:val="635879B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71657DA4"/>
    <w:multiLevelType w:val="multilevel"/>
    <w:tmpl w:val="71657DA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7EF42288"/>
    <w:multiLevelType w:val="multilevel"/>
    <w:tmpl w:val="7EF4228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1"/>
  </w:num>
  <w:num w:numId="2">
    <w:abstractNumId w:val="7"/>
  </w:num>
  <w:num w:numId="3">
    <w:abstractNumId w:val="10"/>
  </w:num>
  <w:num w:numId="4">
    <w:abstractNumId w:val="2"/>
  </w:num>
  <w:num w:numId="5">
    <w:abstractNumId w:val="14"/>
  </w:num>
  <w:num w:numId="6">
    <w:abstractNumId w:val="21"/>
  </w:num>
  <w:num w:numId="7">
    <w:abstractNumId w:val="0"/>
  </w:num>
  <w:num w:numId="8">
    <w:abstractNumId w:val="6"/>
  </w:num>
  <w:num w:numId="9">
    <w:abstractNumId w:val="20"/>
  </w:num>
  <w:num w:numId="10">
    <w:abstractNumId w:val="9"/>
  </w:num>
  <w:num w:numId="11">
    <w:abstractNumId w:val="17"/>
  </w:num>
  <w:num w:numId="12">
    <w:abstractNumId w:val="18"/>
  </w:num>
  <w:num w:numId="13">
    <w:abstractNumId w:val="1"/>
  </w:num>
  <w:num w:numId="14">
    <w:abstractNumId w:val="8"/>
  </w:num>
  <w:num w:numId="15">
    <w:abstractNumId w:val="22"/>
  </w:num>
  <w:num w:numId="16">
    <w:abstractNumId w:val="23"/>
  </w:num>
  <w:num w:numId="17">
    <w:abstractNumId w:val="19"/>
  </w:num>
  <w:num w:numId="18">
    <w:abstractNumId w:val="12"/>
  </w:num>
  <w:num w:numId="19">
    <w:abstractNumId w:val="4"/>
  </w:num>
  <w:num w:numId="20">
    <w:abstractNumId w:val="5"/>
  </w:num>
  <w:num w:numId="21">
    <w:abstractNumId w:val="16"/>
  </w:num>
  <w:num w:numId="22">
    <w:abstractNumId w:val="3"/>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096F"/>
    <w:rsid w:val="000017DE"/>
    <w:rsid w:val="0000378B"/>
    <w:rsid w:val="00003900"/>
    <w:rsid w:val="00006A4C"/>
    <w:rsid w:val="0000790C"/>
    <w:rsid w:val="00014F20"/>
    <w:rsid w:val="00021112"/>
    <w:rsid w:val="00024EA5"/>
    <w:rsid w:val="00025FEB"/>
    <w:rsid w:val="00030401"/>
    <w:rsid w:val="000366B6"/>
    <w:rsid w:val="00040C3D"/>
    <w:rsid w:val="000420B8"/>
    <w:rsid w:val="00047E16"/>
    <w:rsid w:val="0005005B"/>
    <w:rsid w:val="00062022"/>
    <w:rsid w:val="00067F02"/>
    <w:rsid w:val="0007418B"/>
    <w:rsid w:val="000857F8"/>
    <w:rsid w:val="00093BB4"/>
    <w:rsid w:val="000A03D4"/>
    <w:rsid w:val="000A69C5"/>
    <w:rsid w:val="000B01A0"/>
    <w:rsid w:val="000B20F8"/>
    <w:rsid w:val="000B3212"/>
    <w:rsid w:val="000D42A5"/>
    <w:rsid w:val="000D53C6"/>
    <w:rsid w:val="000D6354"/>
    <w:rsid w:val="000D65B6"/>
    <w:rsid w:val="000D6AAD"/>
    <w:rsid w:val="000D6D4A"/>
    <w:rsid w:val="000E3AD1"/>
    <w:rsid w:val="00100D63"/>
    <w:rsid w:val="00101C3C"/>
    <w:rsid w:val="00112E42"/>
    <w:rsid w:val="001135E1"/>
    <w:rsid w:val="00114236"/>
    <w:rsid w:val="00116101"/>
    <w:rsid w:val="00120C2B"/>
    <w:rsid w:val="001263A7"/>
    <w:rsid w:val="001315DA"/>
    <w:rsid w:val="001354DC"/>
    <w:rsid w:val="00140452"/>
    <w:rsid w:val="00151A77"/>
    <w:rsid w:val="00156593"/>
    <w:rsid w:val="00161072"/>
    <w:rsid w:val="00162D51"/>
    <w:rsid w:val="00167943"/>
    <w:rsid w:val="0017404D"/>
    <w:rsid w:val="001849A4"/>
    <w:rsid w:val="00187110"/>
    <w:rsid w:val="00194311"/>
    <w:rsid w:val="00196BE5"/>
    <w:rsid w:val="001A2425"/>
    <w:rsid w:val="001A6D6B"/>
    <w:rsid w:val="001B1430"/>
    <w:rsid w:val="001B1937"/>
    <w:rsid w:val="001B4734"/>
    <w:rsid w:val="001B5C1B"/>
    <w:rsid w:val="001C096D"/>
    <w:rsid w:val="001C48F8"/>
    <w:rsid w:val="001E52E2"/>
    <w:rsid w:val="001E73EB"/>
    <w:rsid w:val="001F1BB5"/>
    <w:rsid w:val="001F2AAD"/>
    <w:rsid w:val="001F7F6B"/>
    <w:rsid w:val="00213B86"/>
    <w:rsid w:val="00213BEF"/>
    <w:rsid w:val="002161E9"/>
    <w:rsid w:val="00216ACD"/>
    <w:rsid w:val="0022657D"/>
    <w:rsid w:val="002318E4"/>
    <w:rsid w:val="00236B91"/>
    <w:rsid w:val="00243987"/>
    <w:rsid w:val="00251834"/>
    <w:rsid w:val="002524A9"/>
    <w:rsid w:val="00254640"/>
    <w:rsid w:val="00255FAD"/>
    <w:rsid w:val="002572FB"/>
    <w:rsid w:val="00266E7B"/>
    <w:rsid w:val="0028129E"/>
    <w:rsid w:val="00282C77"/>
    <w:rsid w:val="002852F7"/>
    <w:rsid w:val="002862D0"/>
    <w:rsid w:val="0029748B"/>
    <w:rsid w:val="002A090C"/>
    <w:rsid w:val="002A16FE"/>
    <w:rsid w:val="002A36E0"/>
    <w:rsid w:val="002A68AA"/>
    <w:rsid w:val="002B4B3D"/>
    <w:rsid w:val="002C0245"/>
    <w:rsid w:val="002C2371"/>
    <w:rsid w:val="002C2D9E"/>
    <w:rsid w:val="002D30A6"/>
    <w:rsid w:val="002F0C22"/>
    <w:rsid w:val="002F1385"/>
    <w:rsid w:val="002F5AED"/>
    <w:rsid w:val="0030404B"/>
    <w:rsid w:val="0031033C"/>
    <w:rsid w:val="00310A32"/>
    <w:rsid w:val="0031414F"/>
    <w:rsid w:val="00315A94"/>
    <w:rsid w:val="00321F3B"/>
    <w:rsid w:val="00324B4A"/>
    <w:rsid w:val="00331CF8"/>
    <w:rsid w:val="00332862"/>
    <w:rsid w:val="00345CC7"/>
    <w:rsid w:val="003519BA"/>
    <w:rsid w:val="00370830"/>
    <w:rsid w:val="00373720"/>
    <w:rsid w:val="003926C6"/>
    <w:rsid w:val="00392910"/>
    <w:rsid w:val="003C312E"/>
    <w:rsid w:val="003C4DD4"/>
    <w:rsid w:val="003C6BE9"/>
    <w:rsid w:val="003D282B"/>
    <w:rsid w:val="003E160A"/>
    <w:rsid w:val="003E2117"/>
    <w:rsid w:val="003E3154"/>
    <w:rsid w:val="003E6382"/>
    <w:rsid w:val="003E7FDC"/>
    <w:rsid w:val="003F10E0"/>
    <w:rsid w:val="00402DA9"/>
    <w:rsid w:val="00411C4B"/>
    <w:rsid w:val="00413F3C"/>
    <w:rsid w:val="00414BF2"/>
    <w:rsid w:val="00415997"/>
    <w:rsid w:val="004213EE"/>
    <w:rsid w:val="00424E1C"/>
    <w:rsid w:val="00427DF9"/>
    <w:rsid w:val="00427F5D"/>
    <w:rsid w:val="00433E29"/>
    <w:rsid w:val="00452E05"/>
    <w:rsid w:val="004540C1"/>
    <w:rsid w:val="00460577"/>
    <w:rsid w:val="00463B42"/>
    <w:rsid w:val="00472003"/>
    <w:rsid w:val="00483045"/>
    <w:rsid w:val="004855F8"/>
    <w:rsid w:val="004857C7"/>
    <w:rsid w:val="004A4E07"/>
    <w:rsid w:val="004B4A99"/>
    <w:rsid w:val="004C6430"/>
    <w:rsid w:val="004D0318"/>
    <w:rsid w:val="004D6CF8"/>
    <w:rsid w:val="004E0195"/>
    <w:rsid w:val="005020C8"/>
    <w:rsid w:val="00512A94"/>
    <w:rsid w:val="005211F9"/>
    <w:rsid w:val="005223D8"/>
    <w:rsid w:val="0052337F"/>
    <w:rsid w:val="0053683B"/>
    <w:rsid w:val="00536C47"/>
    <w:rsid w:val="00563164"/>
    <w:rsid w:val="00565753"/>
    <w:rsid w:val="005670C4"/>
    <w:rsid w:val="0057482A"/>
    <w:rsid w:val="005770AF"/>
    <w:rsid w:val="00584BFC"/>
    <w:rsid w:val="00590DD3"/>
    <w:rsid w:val="00595425"/>
    <w:rsid w:val="005A0973"/>
    <w:rsid w:val="005B15BD"/>
    <w:rsid w:val="005B597F"/>
    <w:rsid w:val="005D6380"/>
    <w:rsid w:val="005D6A5F"/>
    <w:rsid w:val="005E170C"/>
    <w:rsid w:val="005E22CE"/>
    <w:rsid w:val="005E2E2F"/>
    <w:rsid w:val="005E3EA1"/>
    <w:rsid w:val="005F6B0F"/>
    <w:rsid w:val="00601DC8"/>
    <w:rsid w:val="00610117"/>
    <w:rsid w:val="00633A6C"/>
    <w:rsid w:val="00635705"/>
    <w:rsid w:val="00646044"/>
    <w:rsid w:val="00651E02"/>
    <w:rsid w:val="006565F6"/>
    <w:rsid w:val="0065731A"/>
    <w:rsid w:val="0066663F"/>
    <w:rsid w:val="00670FB2"/>
    <w:rsid w:val="00676AB8"/>
    <w:rsid w:val="00680454"/>
    <w:rsid w:val="00684825"/>
    <w:rsid w:val="006A0940"/>
    <w:rsid w:val="006A252D"/>
    <w:rsid w:val="006A542E"/>
    <w:rsid w:val="006B00F7"/>
    <w:rsid w:val="006B39F7"/>
    <w:rsid w:val="006C3E5D"/>
    <w:rsid w:val="006C5E1E"/>
    <w:rsid w:val="006D5CCC"/>
    <w:rsid w:val="006D716D"/>
    <w:rsid w:val="006F0840"/>
    <w:rsid w:val="00706517"/>
    <w:rsid w:val="00707A38"/>
    <w:rsid w:val="00711481"/>
    <w:rsid w:val="0072033B"/>
    <w:rsid w:val="00726A46"/>
    <w:rsid w:val="007323FB"/>
    <w:rsid w:val="00736391"/>
    <w:rsid w:val="00736866"/>
    <w:rsid w:val="0074242A"/>
    <w:rsid w:val="00745A4A"/>
    <w:rsid w:val="0074632D"/>
    <w:rsid w:val="00746602"/>
    <w:rsid w:val="00750E12"/>
    <w:rsid w:val="007521C4"/>
    <w:rsid w:val="0075713F"/>
    <w:rsid w:val="00760AF6"/>
    <w:rsid w:val="00790B0C"/>
    <w:rsid w:val="007918F9"/>
    <w:rsid w:val="007A0244"/>
    <w:rsid w:val="007A4E0D"/>
    <w:rsid w:val="007B2949"/>
    <w:rsid w:val="007B2F5E"/>
    <w:rsid w:val="007B7009"/>
    <w:rsid w:val="007B718C"/>
    <w:rsid w:val="007D0C29"/>
    <w:rsid w:val="007E40A6"/>
    <w:rsid w:val="007E4EA8"/>
    <w:rsid w:val="007E6984"/>
    <w:rsid w:val="007F2A89"/>
    <w:rsid w:val="007F3A35"/>
    <w:rsid w:val="007F5F14"/>
    <w:rsid w:val="008008F7"/>
    <w:rsid w:val="008015E2"/>
    <w:rsid w:val="00802292"/>
    <w:rsid w:val="00805823"/>
    <w:rsid w:val="0080683B"/>
    <w:rsid w:val="00820BEB"/>
    <w:rsid w:val="0082141D"/>
    <w:rsid w:val="00822B83"/>
    <w:rsid w:val="00824D29"/>
    <w:rsid w:val="008276F0"/>
    <w:rsid w:val="0083003D"/>
    <w:rsid w:val="00836EE3"/>
    <w:rsid w:val="00836F03"/>
    <w:rsid w:val="00840F42"/>
    <w:rsid w:val="008413B2"/>
    <w:rsid w:val="00842772"/>
    <w:rsid w:val="008448BA"/>
    <w:rsid w:val="008523A7"/>
    <w:rsid w:val="0085407F"/>
    <w:rsid w:val="008554AE"/>
    <w:rsid w:val="008748F6"/>
    <w:rsid w:val="0088192E"/>
    <w:rsid w:val="008945DB"/>
    <w:rsid w:val="00894ED2"/>
    <w:rsid w:val="008958B2"/>
    <w:rsid w:val="008A0366"/>
    <w:rsid w:val="008A7BB4"/>
    <w:rsid w:val="008B2986"/>
    <w:rsid w:val="008B629D"/>
    <w:rsid w:val="008F5DCD"/>
    <w:rsid w:val="008F7074"/>
    <w:rsid w:val="00900000"/>
    <w:rsid w:val="00902280"/>
    <w:rsid w:val="00915050"/>
    <w:rsid w:val="00915781"/>
    <w:rsid w:val="0092242F"/>
    <w:rsid w:val="00924156"/>
    <w:rsid w:val="009265CD"/>
    <w:rsid w:val="00930EFF"/>
    <w:rsid w:val="009321A9"/>
    <w:rsid w:val="00935F3D"/>
    <w:rsid w:val="0093661A"/>
    <w:rsid w:val="00937F59"/>
    <w:rsid w:val="00951C1F"/>
    <w:rsid w:val="009651D1"/>
    <w:rsid w:val="00965BFB"/>
    <w:rsid w:val="00973B0A"/>
    <w:rsid w:val="009762CD"/>
    <w:rsid w:val="009806D5"/>
    <w:rsid w:val="009846B6"/>
    <w:rsid w:val="00995E81"/>
    <w:rsid w:val="009A468D"/>
    <w:rsid w:val="009A47D7"/>
    <w:rsid w:val="009A6E4C"/>
    <w:rsid w:val="009B0A5C"/>
    <w:rsid w:val="009B23A8"/>
    <w:rsid w:val="009B6CA8"/>
    <w:rsid w:val="009B78EE"/>
    <w:rsid w:val="009C5F3F"/>
    <w:rsid w:val="009D1522"/>
    <w:rsid w:val="009D2134"/>
    <w:rsid w:val="009E2F9E"/>
    <w:rsid w:val="009F4764"/>
    <w:rsid w:val="00A016FD"/>
    <w:rsid w:val="00A03DAB"/>
    <w:rsid w:val="00A100E3"/>
    <w:rsid w:val="00A11E3C"/>
    <w:rsid w:val="00A15380"/>
    <w:rsid w:val="00A22534"/>
    <w:rsid w:val="00A272AC"/>
    <w:rsid w:val="00A3228F"/>
    <w:rsid w:val="00A4462A"/>
    <w:rsid w:val="00A47FCF"/>
    <w:rsid w:val="00A511CC"/>
    <w:rsid w:val="00A543BA"/>
    <w:rsid w:val="00A561FF"/>
    <w:rsid w:val="00A56A70"/>
    <w:rsid w:val="00A57818"/>
    <w:rsid w:val="00A70D52"/>
    <w:rsid w:val="00A72711"/>
    <w:rsid w:val="00A73B93"/>
    <w:rsid w:val="00A8022F"/>
    <w:rsid w:val="00A93977"/>
    <w:rsid w:val="00A945DE"/>
    <w:rsid w:val="00A9471C"/>
    <w:rsid w:val="00A96470"/>
    <w:rsid w:val="00AA0C93"/>
    <w:rsid w:val="00AA7832"/>
    <w:rsid w:val="00AB3B88"/>
    <w:rsid w:val="00AB662B"/>
    <w:rsid w:val="00AC0DDB"/>
    <w:rsid w:val="00AC2FD7"/>
    <w:rsid w:val="00AC474B"/>
    <w:rsid w:val="00AD1826"/>
    <w:rsid w:val="00AD5EFD"/>
    <w:rsid w:val="00AF6137"/>
    <w:rsid w:val="00B050CF"/>
    <w:rsid w:val="00B12C36"/>
    <w:rsid w:val="00B13B0E"/>
    <w:rsid w:val="00B15D30"/>
    <w:rsid w:val="00B228CD"/>
    <w:rsid w:val="00B23FD0"/>
    <w:rsid w:val="00B24AAC"/>
    <w:rsid w:val="00B27026"/>
    <w:rsid w:val="00B27187"/>
    <w:rsid w:val="00B27871"/>
    <w:rsid w:val="00B278AC"/>
    <w:rsid w:val="00B3104E"/>
    <w:rsid w:val="00B37D7F"/>
    <w:rsid w:val="00B4024A"/>
    <w:rsid w:val="00B40D91"/>
    <w:rsid w:val="00B4376F"/>
    <w:rsid w:val="00B44EBB"/>
    <w:rsid w:val="00B51EAF"/>
    <w:rsid w:val="00B55923"/>
    <w:rsid w:val="00B577C7"/>
    <w:rsid w:val="00B61808"/>
    <w:rsid w:val="00B80080"/>
    <w:rsid w:val="00B85DF5"/>
    <w:rsid w:val="00B87E8A"/>
    <w:rsid w:val="00B97D6E"/>
    <w:rsid w:val="00BA164B"/>
    <w:rsid w:val="00BA26F2"/>
    <w:rsid w:val="00BA64A2"/>
    <w:rsid w:val="00BB17AB"/>
    <w:rsid w:val="00BB3F64"/>
    <w:rsid w:val="00BE018C"/>
    <w:rsid w:val="00BE1187"/>
    <w:rsid w:val="00BE449A"/>
    <w:rsid w:val="00BE5177"/>
    <w:rsid w:val="00BE7D91"/>
    <w:rsid w:val="00BF375B"/>
    <w:rsid w:val="00C00143"/>
    <w:rsid w:val="00C10B70"/>
    <w:rsid w:val="00C1108A"/>
    <w:rsid w:val="00C15A43"/>
    <w:rsid w:val="00C15B2A"/>
    <w:rsid w:val="00C31627"/>
    <w:rsid w:val="00C33733"/>
    <w:rsid w:val="00C37B50"/>
    <w:rsid w:val="00C51E23"/>
    <w:rsid w:val="00C54119"/>
    <w:rsid w:val="00C6172B"/>
    <w:rsid w:val="00C65E53"/>
    <w:rsid w:val="00C701D7"/>
    <w:rsid w:val="00C8182F"/>
    <w:rsid w:val="00C863EA"/>
    <w:rsid w:val="00C87F98"/>
    <w:rsid w:val="00CA23E9"/>
    <w:rsid w:val="00CA317F"/>
    <w:rsid w:val="00CB6089"/>
    <w:rsid w:val="00CC096F"/>
    <w:rsid w:val="00CC3695"/>
    <w:rsid w:val="00CC500A"/>
    <w:rsid w:val="00CC7094"/>
    <w:rsid w:val="00CD3224"/>
    <w:rsid w:val="00CD75EF"/>
    <w:rsid w:val="00CF15F1"/>
    <w:rsid w:val="00CF2A17"/>
    <w:rsid w:val="00CF6795"/>
    <w:rsid w:val="00D02DBE"/>
    <w:rsid w:val="00D05F4A"/>
    <w:rsid w:val="00D20149"/>
    <w:rsid w:val="00D21D8A"/>
    <w:rsid w:val="00D25DB2"/>
    <w:rsid w:val="00D32F1E"/>
    <w:rsid w:val="00D470DD"/>
    <w:rsid w:val="00D51A05"/>
    <w:rsid w:val="00D52EF2"/>
    <w:rsid w:val="00D55CFE"/>
    <w:rsid w:val="00D66E62"/>
    <w:rsid w:val="00D74B70"/>
    <w:rsid w:val="00D7594F"/>
    <w:rsid w:val="00D75E74"/>
    <w:rsid w:val="00D812FA"/>
    <w:rsid w:val="00D845C4"/>
    <w:rsid w:val="00D906DD"/>
    <w:rsid w:val="00D910A7"/>
    <w:rsid w:val="00D946EF"/>
    <w:rsid w:val="00DA0711"/>
    <w:rsid w:val="00DA702F"/>
    <w:rsid w:val="00DB0A48"/>
    <w:rsid w:val="00DB3D83"/>
    <w:rsid w:val="00DB76DE"/>
    <w:rsid w:val="00DC04E0"/>
    <w:rsid w:val="00DD0C2C"/>
    <w:rsid w:val="00DD2D80"/>
    <w:rsid w:val="00DD6E86"/>
    <w:rsid w:val="00E00573"/>
    <w:rsid w:val="00E06174"/>
    <w:rsid w:val="00E1088C"/>
    <w:rsid w:val="00E14100"/>
    <w:rsid w:val="00E15155"/>
    <w:rsid w:val="00E15958"/>
    <w:rsid w:val="00E214C0"/>
    <w:rsid w:val="00E216C3"/>
    <w:rsid w:val="00E23343"/>
    <w:rsid w:val="00E27BE0"/>
    <w:rsid w:val="00E30443"/>
    <w:rsid w:val="00E35C53"/>
    <w:rsid w:val="00E42294"/>
    <w:rsid w:val="00E43DCC"/>
    <w:rsid w:val="00E46858"/>
    <w:rsid w:val="00E64659"/>
    <w:rsid w:val="00E735DD"/>
    <w:rsid w:val="00E845A0"/>
    <w:rsid w:val="00E923BD"/>
    <w:rsid w:val="00E94685"/>
    <w:rsid w:val="00EA3D81"/>
    <w:rsid w:val="00EA4F16"/>
    <w:rsid w:val="00EA58F9"/>
    <w:rsid w:val="00EB358C"/>
    <w:rsid w:val="00EB7786"/>
    <w:rsid w:val="00EC4359"/>
    <w:rsid w:val="00EC4B57"/>
    <w:rsid w:val="00ED001F"/>
    <w:rsid w:val="00ED5F33"/>
    <w:rsid w:val="00EE19FF"/>
    <w:rsid w:val="00EF2C9B"/>
    <w:rsid w:val="00EF5E2A"/>
    <w:rsid w:val="00EF685F"/>
    <w:rsid w:val="00F00C4E"/>
    <w:rsid w:val="00F0113D"/>
    <w:rsid w:val="00F02D7A"/>
    <w:rsid w:val="00F06272"/>
    <w:rsid w:val="00F10325"/>
    <w:rsid w:val="00F1360E"/>
    <w:rsid w:val="00F22FE8"/>
    <w:rsid w:val="00F26BDD"/>
    <w:rsid w:val="00F3036E"/>
    <w:rsid w:val="00F37961"/>
    <w:rsid w:val="00F40CD9"/>
    <w:rsid w:val="00F41867"/>
    <w:rsid w:val="00F43EB4"/>
    <w:rsid w:val="00F513AE"/>
    <w:rsid w:val="00F51469"/>
    <w:rsid w:val="00F51AB5"/>
    <w:rsid w:val="00F5415F"/>
    <w:rsid w:val="00F60278"/>
    <w:rsid w:val="00F6098E"/>
    <w:rsid w:val="00F61E3E"/>
    <w:rsid w:val="00F6234D"/>
    <w:rsid w:val="00F665BB"/>
    <w:rsid w:val="00F77A76"/>
    <w:rsid w:val="00F83C25"/>
    <w:rsid w:val="00F93649"/>
    <w:rsid w:val="00FA31BB"/>
    <w:rsid w:val="00FB57B1"/>
    <w:rsid w:val="00FC0282"/>
    <w:rsid w:val="00FC4A1E"/>
    <w:rsid w:val="00FC4D20"/>
    <w:rsid w:val="00FC5767"/>
    <w:rsid w:val="00FD1461"/>
    <w:rsid w:val="00FD27D1"/>
    <w:rsid w:val="00FD52C6"/>
    <w:rsid w:val="00FD62F1"/>
    <w:rsid w:val="00FF17EA"/>
    <w:rsid w:val="00FF6EBE"/>
    <w:rsid w:val="47F413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120" w:after="120" w:line="578" w:lineRule="auto"/>
      <w:outlineLvl w:val="0"/>
    </w:pPr>
    <w:rPr>
      <w:rFonts w:ascii="宋体" w:hAnsi="宋体"/>
      <w:b/>
      <w:bCs/>
      <w:kern w:val="44"/>
      <w:sz w:val="24"/>
    </w:rPr>
  </w:style>
  <w:style w:type="paragraph" w:styleId="3">
    <w:name w:val="heading 2"/>
    <w:basedOn w:val="1"/>
    <w:next w:val="1"/>
    <w:link w:val="48"/>
    <w:qFormat/>
    <w:uiPriority w:val="0"/>
    <w:pPr>
      <w:spacing w:line="360" w:lineRule="auto"/>
      <w:outlineLvl w:val="1"/>
    </w:pPr>
    <w:rPr>
      <w:rFonts w:ascii="黑体" w:hAnsi="黑体" w:eastAsia="黑体"/>
      <w:b/>
      <w:sz w:val="24"/>
    </w:rPr>
  </w:style>
  <w:style w:type="paragraph" w:styleId="4">
    <w:name w:val="heading 3"/>
    <w:basedOn w:val="5"/>
    <w:next w:val="1"/>
    <w:qFormat/>
    <w:uiPriority w:val="0"/>
    <w:pPr>
      <w:spacing w:line="360" w:lineRule="auto"/>
      <w:ind w:left="479" w:leftChars="0" w:hanging="479" w:hangingChars="199"/>
      <w:outlineLvl w:val="2"/>
    </w:pPr>
    <w:rPr>
      <w:rFonts w:ascii="黑体" w:hAnsi="黑体" w:eastAsia="黑体"/>
      <w:b/>
      <w:sz w:val="24"/>
      <w:szCs w:val="24"/>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5">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styleId="10">
    <w:name w:val="annotation text"/>
    <w:basedOn w:val="1"/>
    <w:link w:val="45"/>
    <w:uiPriority w:val="0"/>
    <w:pPr>
      <w:jc w:val="left"/>
    </w:pPr>
  </w:style>
  <w:style w:type="paragraph" w:styleId="11">
    <w:name w:val="Body Text"/>
    <w:basedOn w:val="1"/>
    <w:uiPriority w:val="0"/>
    <w:pPr>
      <w:spacing w:after="120"/>
    </w:pPr>
  </w:style>
  <w:style w:type="paragraph" w:styleId="12">
    <w:name w:val="Body Text Indent"/>
    <w:basedOn w:val="1"/>
    <w:link w:val="47"/>
    <w:uiPriority w:val="0"/>
    <w:pPr>
      <w:ind w:firstLine="480" w:firstLineChars="200"/>
    </w:pPr>
    <w:rPr>
      <w:sz w:val="24"/>
    </w:rPr>
  </w:style>
  <w:style w:type="paragraph" w:styleId="13">
    <w:name w:val="List 2"/>
    <w:basedOn w:val="1"/>
    <w:uiPriority w:val="0"/>
    <w:pPr>
      <w:ind w:left="100" w:leftChars="200" w:hanging="200" w:hangingChars="200"/>
    </w:pPr>
  </w:style>
  <w:style w:type="paragraph" w:styleId="14">
    <w:name w:val="List Continue"/>
    <w:basedOn w:val="1"/>
    <w:uiPriority w:val="0"/>
    <w:pPr>
      <w:spacing w:after="120"/>
      <w:ind w:left="420" w:leftChars="200"/>
    </w:pPr>
  </w:style>
  <w:style w:type="paragraph" w:styleId="15">
    <w:name w:val="toc 3"/>
    <w:basedOn w:val="1"/>
    <w:next w:val="1"/>
    <w:semiHidden/>
    <w:uiPriority w:val="0"/>
    <w:pPr>
      <w:ind w:left="420"/>
      <w:jc w:val="left"/>
    </w:pPr>
    <w:rPr>
      <w:i/>
      <w:iCs/>
    </w:rPr>
  </w:style>
  <w:style w:type="paragraph" w:styleId="16">
    <w:name w:val="Date"/>
    <w:basedOn w:val="1"/>
    <w:next w:val="1"/>
    <w:uiPriority w:val="0"/>
    <w:pPr>
      <w:ind w:left="2500" w:leftChars="2500"/>
    </w:pPr>
    <w:rPr>
      <w:sz w:val="24"/>
    </w:rPr>
  </w:style>
  <w:style w:type="paragraph" w:styleId="17">
    <w:name w:val="Body Text Indent 2"/>
    <w:basedOn w:val="1"/>
    <w:uiPriority w:val="0"/>
    <w:pPr>
      <w:ind w:firstLine="480" w:firstLineChars="200"/>
    </w:pPr>
    <w:rPr>
      <w:i/>
      <w:iCs/>
      <w:sz w:val="24"/>
    </w:rPr>
  </w:style>
  <w:style w:type="paragraph" w:styleId="18">
    <w:name w:val="Balloon Text"/>
    <w:basedOn w:val="1"/>
    <w:semiHidden/>
    <w:uiPriority w:val="0"/>
    <w:rPr>
      <w:sz w:val="18"/>
      <w:szCs w:val="18"/>
    </w:rPr>
  </w:style>
  <w:style w:type="paragraph" w:styleId="19">
    <w:name w:val="footer"/>
    <w:basedOn w:val="1"/>
    <w:link w:val="50"/>
    <w:uiPriority w:val="0"/>
    <w:pPr>
      <w:tabs>
        <w:tab w:val="center" w:pos="4153"/>
        <w:tab w:val="right" w:pos="8306"/>
      </w:tabs>
      <w:snapToGrid w:val="0"/>
      <w:jc w:val="left"/>
    </w:pPr>
    <w:rPr>
      <w:sz w:val="18"/>
      <w:szCs w:val="18"/>
    </w:rPr>
  </w:style>
  <w:style w:type="paragraph" w:styleId="20">
    <w:name w:val="header"/>
    <w:basedOn w:val="1"/>
    <w:link w:val="51"/>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39"/>
  </w:style>
  <w:style w:type="paragraph" w:styleId="22">
    <w:name w:val="List"/>
    <w:basedOn w:val="1"/>
    <w:uiPriority w:val="0"/>
    <w:pPr>
      <w:ind w:left="200" w:hanging="200" w:hangingChars="200"/>
    </w:pPr>
  </w:style>
  <w:style w:type="paragraph" w:styleId="23">
    <w:name w:val="Body Text Indent 3"/>
    <w:basedOn w:val="1"/>
    <w:uiPriority w:val="0"/>
    <w:pPr>
      <w:spacing w:after="120"/>
      <w:ind w:left="420" w:leftChars="200"/>
    </w:pPr>
    <w:rPr>
      <w:sz w:val="16"/>
      <w:szCs w:val="16"/>
    </w:rPr>
  </w:style>
  <w:style w:type="paragraph" w:styleId="24">
    <w:name w:val="toc 2"/>
    <w:basedOn w:val="1"/>
    <w:next w:val="1"/>
    <w:uiPriority w:val="39"/>
    <w:pPr>
      <w:ind w:left="210"/>
      <w:jc w:val="left"/>
    </w:pPr>
    <w:rPr>
      <w:smallCaps/>
    </w:rPr>
  </w:style>
  <w:style w:type="paragraph" w:styleId="25">
    <w:name w:val="Body Text 2"/>
    <w:basedOn w:val="1"/>
    <w:uiPriority w:val="0"/>
    <w:pPr>
      <w:spacing w:after="120" w:line="480" w:lineRule="auto"/>
    </w:pPr>
  </w:style>
  <w:style w:type="paragraph" w:styleId="26">
    <w:name w:val="Normal (Web)"/>
    <w:basedOn w:val="1"/>
    <w:uiPriority w:val="0"/>
    <w:pPr>
      <w:widowControl/>
      <w:spacing w:before="100" w:beforeAutospacing="1" w:after="100" w:afterAutospacing="1"/>
      <w:jc w:val="left"/>
    </w:pPr>
    <w:rPr>
      <w:rFonts w:ascii="宋体" w:hAnsi="宋体" w:cs="宋体"/>
      <w:kern w:val="0"/>
      <w:sz w:val="24"/>
    </w:rPr>
  </w:style>
  <w:style w:type="paragraph" w:styleId="27">
    <w:name w:val="index 1"/>
    <w:basedOn w:val="1"/>
    <w:next w:val="1"/>
    <w:semiHidden/>
    <w:uiPriority w:val="0"/>
  </w:style>
  <w:style w:type="paragraph" w:styleId="28">
    <w:name w:val="Title"/>
    <w:basedOn w:val="1"/>
    <w:next w:val="1"/>
    <w:link w:val="49"/>
    <w:qFormat/>
    <w:uiPriority w:val="0"/>
    <w:pPr>
      <w:spacing w:before="240" w:after="60"/>
      <w:jc w:val="center"/>
      <w:outlineLvl w:val="0"/>
    </w:pPr>
    <w:rPr>
      <w:rFonts w:ascii="Cambria" w:hAnsi="Cambria"/>
      <w:b/>
      <w:bCs/>
      <w:sz w:val="32"/>
      <w:szCs w:val="32"/>
    </w:rPr>
  </w:style>
  <w:style w:type="paragraph" w:styleId="29">
    <w:name w:val="annotation subject"/>
    <w:basedOn w:val="10"/>
    <w:next w:val="10"/>
    <w:link w:val="46"/>
    <w:uiPriority w:val="0"/>
    <w:rPr>
      <w:b/>
      <w:bCs/>
    </w:rPr>
  </w:style>
  <w:style w:type="character" w:styleId="32">
    <w:name w:val="page number"/>
    <w:basedOn w:val="31"/>
    <w:uiPriority w:val="0"/>
  </w:style>
  <w:style w:type="character" w:styleId="33">
    <w:name w:val="Hyperlink"/>
    <w:uiPriority w:val="99"/>
    <w:rPr>
      <w:color w:val="0000FF"/>
      <w:u w:val="single"/>
    </w:rPr>
  </w:style>
  <w:style w:type="character" w:styleId="34">
    <w:name w:val="annotation reference"/>
    <w:uiPriority w:val="0"/>
    <w:rPr>
      <w:sz w:val="21"/>
      <w:szCs w:val="21"/>
    </w:rPr>
  </w:style>
  <w:style w:type="paragraph" w:customStyle="1" w:styleId="35">
    <w:name w:val="段"/>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customStyle="1" w:styleId="36">
    <w:name w:val="一级条标题"/>
    <w:next w:val="35"/>
    <w:uiPriority w:val="0"/>
    <w:pPr>
      <w:outlineLvl w:val="2"/>
    </w:pPr>
    <w:rPr>
      <w:rFonts w:ascii="Times New Roman" w:hAnsi="Times New Roman" w:eastAsia="黑体" w:cs="Times New Roman"/>
      <w:sz w:val="21"/>
      <w:lang w:val="en-US" w:eastAsia="zh-CN" w:bidi="ar-SA"/>
    </w:rPr>
  </w:style>
  <w:style w:type="paragraph" w:customStyle="1" w:styleId="37">
    <w:name w:val="章标题"/>
    <w:next w:val="35"/>
    <w:uiPriority w:val="0"/>
    <w:pPr>
      <w:spacing w:beforeLines="50" w:afterLines="50"/>
      <w:jc w:val="both"/>
      <w:outlineLvl w:val="1"/>
    </w:pPr>
    <w:rPr>
      <w:rFonts w:hint="eastAsia" w:ascii="黑体" w:hAnsi="Times New Roman" w:eastAsia="黑体" w:cs="Times New Roman"/>
      <w:sz w:val="21"/>
      <w:lang w:val="en-US" w:eastAsia="zh-CN" w:bidi="ar-SA"/>
    </w:rPr>
  </w:style>
  <w:style w:type="paragraph" w:customStyle="1" w:styleId="38">
    <w:name w:val="Default"/>
    <w:uiPriority w:val="0"/>
    <w:pPr>
      <w:widowControl w:val="0"/>
      <w:autoSpaceDE w:val="0"/>
      <w:autoSpaceDN w:val="0"/>
      <w:adjustRightInd w:val="0"/>
    </w:pPr>
    <w:rPr>
      <w:rFonts w:hint="eastAsia" w:ascii=".." w:hAnsi="Times New Roman" w:eastAsia=".." w:cs="Times New Roman"/>
      <w:color w:val="000000"/>
      <w:sz w:val="24"/>
      <w:szCs w:val="24"/>
      <w:lang w:val="en-US" w:eastAsia="zh-CN" w:bidi="ar-SA"/>
    </w:rPr>
  </w:style>
  <w:style w:type="paragraph" w:customStyle="1" w:styleId="39">
    <w:name w:val=".."/>
    <w:basedOn w:val="38"/>
    <w:next w:val="38"/>
    <w:uiPriority w:val="0"/>
    <w:rPr>
      <w:color w:val="auto"/>
      <w:sz w:val="20"/>
    </w:rPr>
  </w:style>
  <w:style w:type="paragraph" w:customStyle="1" w:styleId="40">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二级条标题"/>
    <w:basedOn w:val="36"/>
    <w:next w:val="1"/>
    <w:uiPriority w:val="0"/>
    <w:pPr>
      <w:outlineLvl w:val="3"/>
    </w:pPr>
  </w:style>
  <w:style w:type="paragraph" w:customStyle="1" w:styleId="42">
    <w:name w:val="实施日期"/>
    <w:basedOn w:val="1"/>
    <w:uiPriority w:val="0"/>
    <w:pPr>
      <w:framePr w:w="4000" w:h="473" w:hRule="exact" w:vSpace="180" w:wrap="around" w:vAnchor="margin" w:hAnchor="margin" w:xAlign="right" w:y="13511" w:anchorLock="1"/>
      <w:widowControl/>
      <w:jc w:val="right"/>
    </w:pPr>
    <w:rPr>
      <w:rFonts w:eastAsia="黑体"/>
      <w:kern w:val="0"/>
      <w:sz w:val="28"/>
      <w:szCs w:val="20"/>
    </w:rPr>
  </w:style>
  <w:style w:type="paragraph" w:customStyle="1" w:styleId="43">
    <w:name w:val="图表脚注"/>
    <w:next w:val="1"/>
    <w:uiPriority w:val="0"/>
    <w:pPr>
      <w:jc w:val="both"/>
    </w:pPr>
    <w:rPr>
      <w:rFonts w:ascii="宋体" w:hAnsi="Times New Roman" w:eastAsia="宋体" w:cs="Times New Roman"/>
      <w:sz w:val="18"/>
      <w:lang w:val="en-US" w:eastAsia="zh-CN" w:bidi="ar-SA"/>
    </w:rPr>
  </w:style>
  <w:style w:type="character" w:customStyle="1" w:styleId="44">
    <w:name w:val="标题 1 Char"/>
    <w:link w:val="2"/>
    <w:uiPriority w:val="0"/>
    <w:rPr>
      <w:rFonts w:ascii="宋体" w:hAnsi="宋体" w:eastAsia="宋体"/>
      <w:b/>
      <w:bCs/>
      <w:kern w:val="44"/>
      <w:sz w:val="24"/>
      <w:szCs w:val="24"/>
    </w:rPr>
  </w:style>
  <w:style w:type="character" w:customStyle="1" w:styleId="45">
    <w:name w:val="批注文字 Char"/>
    <w:link w:val="10"/>
    <w:uiPriority w:val="0"/>
    <w:rPr>
      <w:kern w:val="2"/>
      <w:sz w:val="21"/>
      <w:szCs w:val="24"/>
    </w:rPr>
  </w:style>
  <w:style w:type="character" w:customStyle="1" w:styleId="46">
    <w:name w:val="批注主题 Char"/>
    <w:link w:val="29"/>
    <w:uiPriority w:val="0"/>
    <w:rPr>
      <w:b/>
      <w:bCs/>
      <w:kern w:val="2"/>
      <w:sz w:val="21"/>
      <w:szCs w:val="24"/>
    </w:rPr>
  </w:style>
  <w:style w:type="character" w:customStyle="1" w:styleId="47">
    <w:name w:val="正文文本缩进 Char"/>
    <w:link w:val="12"/>
    <w:uiPriority w:val="0"/>
    <w:rPr>
      <w:kern w:val="2"/>
      <w:sz w:val="24"/>
      <w:szCs w:val="24"/>
    </w:rPr>
  </w:style>
  <w:style w:type="character" w:customStyle="1" w:styleId="48">
    <w:name w:val="标题 2 Char"/>
    <w:link w:val="3"/>
    <w:uiPriority w:val="0"/>
    <w:rPr>
      <w:rFonts w:ascii="黑体" w:hAnsi="黑体" w:eastAsia="黑体"/>
      <w:b/>
      <w:kern w:val="2"/>
      <w:sz w:val="24"/>
      <w:szCs w:val="24"/>
    </w:rPr>
  </w:style>
  <w:style w:type="character" w:customStyle="1" w:styleId="49">
    <w:name w:val="标题 Char"/>
    <w:basedOn w:val="31"/>
    <w:link w:val="28"/>
    <w:uiPriority w:val="0"/>
    <w:rPr>
      <w:rFonts w:ascii="Cambria" w:hAnsi="Cambria"/>
      <w:b/>
      <w:bCs/>
      <w:kern w:val="2"/>
      <w:sz w:val="32"/>
      <w:szCs w:val="32"/>
    </w:rPr>
  </w:style>
  <w:style w:type="character" w:customStyle="1" w:styleId="50">
    <w:name w:val="页脚 Char"/>
    <w:basedOn w:val="31"/>
    <w:link w:val="19"/>
    <w:uiPriority w:val="0"/>
    <w:rPr>
      <w:kern w:val="2"/>
      <w:sz w:val="18"/>
      <w:szCs w:val="18"/>
    </w:rPr>
  </w:style>
  <w:style w:type="character" w:customStyle="1" w:styleId="51">
    <w:name w:val="页眉 Char"/>
    <w:link w:val="20"/>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41"/>
    <customShpInfo spid="_x0000_s1040"/>
    <customShpInfo spid="_x0000_s1029"/>
    <customShpInfo spid="_x0000_s1039"/>
    <customShpInfo spid="_x0000_s1030"/>
    <customShpInfo spid="_x0000_s1038"/>
    <customShpInfo spid="_x0000_s1031"/>
    <customShpInfo spid="_x0000_s1037"/>
    <customShpInfo spid="_x0000_s1032"/>
    <customShpInfo spid="_x0000_s1036"/>
    <customShpInfo spid="_x0000_s1033"/>
    <customShpInfo spid="_x0000_s1035"/>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D3DF8-2533-45C8-AE38-64CBF83011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1805</Words>
  <Characters>10291</Characters>
  <Lines>85</Lines>
  <Paragraphs>24</Paragraphs>
  <TotalTime>3</TotalTime>
  <ScaleCrop>false</ScaleCrop>
  <LinksUpToDate>false</LinksUpToDate>
  <CharactersWithSpaces>12072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2017-02-22T05:50:00Z</dcterms:created>
  <dc:creator>ibm</dc:creator>
  <cp:lastModifiedBy>流程-赵</cp:lastModifiedBy>
  <cp:lastPrinted>2015-12-11T01:02:00Z</cp:lastPrinted>
  <dcterms:modified xsi:type="dcterms:W3CDTF">2021-04-27T02:08:19Z</dcterms:modified>
  <dc:title>环境管理体系实施方案</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F648D105852846E0804805C716EC3647</vt:lpwstr>
  </property>
</Properties>
</file>